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37" w:rsidRDefault="001C2754">
      <w:pPr>
        <w:spacing w:after="0" w:line="259" w:lineRule="auto"/>
        <w:ind w:left="30" w:firstLine="0"/>
        <w:jc w:val="center"/>
      </w:pPr>
      <w:r>
        <w:rPr>
          <w:noProof/>
        </w:rPr>
        <w:drawing>
          <wp:inline distT="0" distB="0" distL="0" distR="0" wp14:anchorId="5BB1F7A4" wp14:editId="5576438A">
            <wp:extent cx="970788" cy="10668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5"/>
                    <a:stretch>
                      <a:fillRect/>
                    </a:stretch>
                  </pic:blipFill>
                  <pic:spPr>
                    <a:xfrm>
                      <a:off x="0" y="0"/>
                      <a:ext cx="970788" cy="1066800"/>
                    </a:xfrm>
                    <a:prstGeom prst="rect">
                      <a:avLst/>
                    </a:prstGeom>
                  </pic:spPr>
                </pic:pic>
              </a:graphicData>
            </a:graphic>
          </wp:inline>
        </w:drawing>
      </w:r>
      <w:r>
        <w:t xml:space="preserve"> </w:t>
      </w:r>
    </w:p>
    <w:p w:rsidR="005A7237" w:rsidRDefault="001C2754">
      <w:pPr>
        <w:pStyle w:val="Heading1"/>
        <w:spacing w:after="0"/>
        <w:ind w:left="-5"/>
      </w:pPr>
      <w:r>
        <w:t xml:space="preserve">Profile </w:t>
      </w:r>
    </w:p>
    <w:p w:rsidR="005A7237" w:rsidRDefault="001C2754">
      <w:pPr>
        <w:ind w:left="-5" w:right="6"/>
      </w:pPr>
      <w:r>
        <w:t xml:space="preserve">Kent- Meridian High School </w:t>
      </w:r>
    </w:p>
    <w:p w:rsidR="005A7237" w:rsidRDefault="001C2754">
      <w:pPr>
        <w:ind w:left="-5" w:right="6"/>
      </w:pPr>
      <w:r>
        <w:t xml:space="preserve">CEEB code: 480-535 </w:t>
      </w:r>
    </w:p>
    <w:p w:rsidR="00971BE0" w:rsidRDefault="001C2754">
      <w:pPr>
        <w:ind w:left="-5" w:right="6533"/>
      </w:pPr>
      <w:r>
        <w:t>Main Office</w:t>
      </w:r>
      <w:proofErr w:type="gramStart"/>
      <w:r>
        <w:t>:  (</w:t>
      </w:r>
      <w:proofErr w:type="gramEnd"/>
      <w:r>
        <w:t xml:space="preserve">253) 373-7405 </w:t>
      </w:r>
    </w:p>
    <w:p w:rsidR="005A7237" w:rsidRDefault="001C2754">
      <w:pPr>
        <w:ind w:left="-5" w:right="6533"/>
      </w:pPr>
      <w:r>
        <w:t xml:space="preserve">Counseling Office: (253) 373-7436 </w:t>
      </w:r>
      <w:hyperlink r:id="rId6">
        <w:r>
          <w:rPr>
            <w:color w:val="0000FF"/>
            <w:u w:val="single" w:color="0000FF"/>
          </w:rPr>
          <w:t>http://www.kent.k12.wa.us/ksd/km/</w:t>
        </w:r>
      </w:hyperlink>
      <w:hyperlink r:id="rId7">
        <w:r>
          <w:t xml:space="preserve"> </w:t>
        </w:r>
      </w:hyperlink>
      <w:r>
        <w:t xml:space="preserve">Principal: Dr. Wade Barringer </w:t>
      </w:r>
    </w:p>
    <w:p w:rsidR="005A7237" w:rsidRDefault="001C2754">
      <w:pPr>
        <w:ind w:left="-5" w:right="6"/>
      </w:pPr>
      <w:r>
        <w:t xml:space="preserve">School Counselors: Patricia Moss, Wanda Howlett, Betsy Schelien, </w:t>
      </w:r>
      <w:bookmarkStart w:id="0" w:name="_GoBack"/>
      <w:bookmarkEnd w:id="0"/>
      <w:r w:rsidR="00971BE0">
        <w:t>Kelly McGuinness</w:t>
      </w:r>
      <w:r>
        <w:t xml:space="preserve">, Kevin Barker </w:t>
      </w:r>
    </w:p>
    <w:p w:rsidR="005A7237" w:rsidRDefault="001C2754">
      <w:pPr>
        <w:spacing w:after="0" w:line="259" w:lineRule="auto"/>
        <w:ind w:left="0" w:firstLine="0"/>
      </w:pPr>
      <w:r>
        <w:t xml:space="preserve"> </w:t>
      </w:r>
    </w:p>
    <w:p w:rsidR="005A7237" w:rsidRDefault="001C2754">
      <w:pPr>
        <w:pStyle w:val="Heading1"/>
        <w:ind w:left="-5"/>
      </w:pPr>
      <w:r>
        <w:t xml:space="preserve">Community </w:t>
      </w:r>
    </w:p>
    <w:p w:rsidR="005A7237" w:rsidRPr="001D416E" w:rsidRDefault="001C2754">
      <w:pPr>
        <w:ind w:left="-5" w:right="6"/>
      </w:pPr>
      <w:r>
        <w:t>Kent School District is the fourth largest school district in the state of Washington</w:t>
      </w:r>
      <w:r w:rsidR="00FD0EA0">
        <w:t>,</w:t>
      </w:r>
      <w:r>
        <w:t xml:space="preserve"> serving the communities of Kent, Covington, Renton, Maple Valley and Black Diamond. The district benefits from a wide range of economic energy resulting from its location at the midway p</w:t>
      </w:r>
      <w:r w:rsidR="00FD0EA0">
        <w:t>oint between Seattle and Tacoma</w:t>
      </w:r>
      <w:r>
        <w:t xml:space="preserve">. Currently, the district consists of </w:t>
      </w:r>
      <w:r w:rsidR="00FD0EA0">
        <w:t>four</w:t>
      </w:r>
      <w:r>
        <w:t xml:space="preserve"> large comprehensive high </w:t>
      </w:r>
      <w:r w:rsidR="00FD0EA0">
        <w:t>s</w:t>
      </w:r>
      <w:r>
        <w:t xml:space="preserve">chools, </w:t>
      </w:r>
      <w:r w:rsidR="00FD0EA0">
        <w:t>six</w:t>
      </w:r>
      <w:r>
        <w:t xml:space="preserve"> middle schools, </w:t>
      </w:r>
      <w:r w:rsidR="00FD0EA0">
        <w:t>twenty-eight</w:t>
      </w:r>
      <w:r>
        <w:t xml:space="preserve"> elementary schools and </w:t>
      </w:r>
      <w:r w:rsidR="00FD0EA0">
        <w:t>five</w:t>
      </w:r>
      <w:r>
        <w:t xml:space="preserve"> academies. Kent School District benefits from a wealth of diversity as more than </w:t>
      </w:r>
      <w:r w:rsidRPr="00326CBE">
        <w:t>137</w:t>
      </w:r>
      <w:r>
        <w:t xml:space="preserve"> languages are spoken within its boundaries, with the top five languages being: </w:t>
      </w:r>
      <w:r w:rsidRPr="00EB2436">
        <w:t>Spanish, Ukrainian, Arabic, Somali, and Vietnamese</w:t>
      </w:r>
      <w:r>
        <w:t xml:space="preserve">. </w:t>
      </w:r>
      <w:r w:rsidRPr="001D416E">
        <w:t xml:space="preserve">The </w:t>
      </w:r>
    </w:p>
    <w:p w:rsidR="005A7237" w:rsidRDefault="001C2754">
      <w:pPr>
        <w:spacing w:after="191"/>
        <w:ind w:left="-5" w:right="6"/>
      </w:pPr>
      <w:r w:rsidRPr="001D416E">
        <w:t xml:space="preserve">Kent School District’s student population consists of </w:t>
      </w:r>
      <w:r w:rsidR="001D416E" w:rsidRPr="001D416E">
        <w:t>64</w:t>
      </w:r>
      <w:r w:rsidRPr="001D416E">
        <w:t>% students of color</w:t>
      </w:r>
      <w:r w:rsidR="00FD0EA0" w:rsidRPr="001D416E">
        <w:t xml:space="preserve"> and</w:t>
      </w:r>
      <w:r w:rsidRPr="001D416E">
        <w:t xml:space="preserve"> </w:t>
      </w:r>
      <w:r w:rsidR="001D416E" w:rsidRPr="001D416E">
        <w:t>36</w:t>
      </w:r>
      <w:r w:rsidRPr="001D416E">
        <w:t xml:space="preserve">% </w:t>
      </w:r>
      <w:r w:rsidR="00735742" w:rsidRPr="001D416E">
        <w:t>Caucasian</w:t>
      </w:r>
      <w:r w:rsidRPr="001D416E">
        <w:t xml:space="preserve"> students.</w:t>
      </w:r>
      <w:r w:rsidR="0026488B">
        <w:t xml:space="preserve"> Kent-</w:t>
      </w:r>
      <w:r>
        <w:t xml:space="preserve">Meridian High School itself has been identified as the most diverse high </w:t>
      </w:r>
      <w:r w:rsidR="00FD0EA0">
        <w:t>s</w:t>
      </w:r>
      <w:r>
        <w:t>chool in Washington</w:t>
      </w:r>
      <w:r w:rsidR="0026488B">
        <w:t xml:space="preserve"> State and currently contains 20</w:t>
      </w:r>
      <w:r>
        <w:t xml:space="preserve">% Asian, </w:t>
      </w:r>
      <w:r w:rsidR="0026488B">
        <w:t>33</w:t>
      </w:r>
      <w:r>
        <w:t xml:space="preserve">% Hispanic, 19% Black, </w:t>
      </w:r>
      <w:r w:rsidR="0026488B">
        <w:t>17</w:t>
      </w:r>
      <w:r w:rsidR="00326CBE">
        <w:t>% White, 4</w:t>
      </w:r>
      <w:r>
        <w:t xml:space="preserve">% Pacific Islander, </w:t>
      </w:r>
      <w:r w:rsidR="0026488B">
        <w:t>7</w:t>
      </w:r>
      <w:r>
        <w:t xml:space="preserve">% who identify as multiracial and </w:t>
      </w:r>
      <w:r w:rsidR="00326CBE">
        <w:t>&lt;</w:t>
      </w:r>
      <w:r>
        <w:t xml:space="preserve">1% American Indian/Alaskan Native.  </w:t>
      </w:r>
    </w:p>
    <w:p w:rsidR="005A7237" w:rsidRDefault="001C2754">
      <w:pPr>
        <w:spacing w:after="191"/>
        <w:ind w:left="-5" w:right="6"/>
      </w:pPr>
      <w:r>
        <w:t xml:space="preserve">In addition to the </w:t>
      </w:r>
      <w:r w:rsidR="00971BE0">
        <w:t xml:space="preserve">cultural and linguistic </w:t>
      </w:r>
      <w:r>
        <w:t>diversity of the Kent School District, Kent-Meridian High School addresses a wide range of academic diversities. When comparing the free and reduced lunch data from the Office of the Superintendent of Public Instruction, it should be noted that statewide</w:t>
      </w:r>
      <w:r w:rsidR="00FD0EA0">
        <w:t>,</w:t>
      </w:r>
      <w:r>
        <w:t xml:space="preserve"> </w:t>
      </w:r>
      <w:r w:rsidRPr="007B5BCF">
        <w:t>45% of students receive free and reduced lunch.  Similarly, within Kent School District, the number is 52%. This is a sharp contrast to the 75% at Kent-Meridian High School indicating an increase</w:t>
      </w:r>
      <w:r w:rsidR="00971BE0">
        <w:t>d</w:t>
      </w:r>
      <w:r w:rsidRPr="007B5BCF">
        <w:t xml:space="preserve"> </w:t>
      </w:r>
      <w:r w:rsidR="00971BE0">
        <w:t>socio</w:t>
      </w:r>
      <w:r w:rsidRPr="007B5BCF">
        <w:t xml:space="preserve">economic diversity.  </w:t>
      </w:r>
    </w:p>
    <w:p w:rsidR="005A7237" w:rsidRDefault="001C2754">
      <w:pPr>
        <w:pStyle w:val="Heading1"/>
        <w:ind w:left="-5"/>
      </w:pPr>
      <w:r>
        <w:t xml:space="preserve">School </w:t>
      </w:r>
    </w:p>
    <w:p w:rsidR="005A7237" w:rsidRDefault="001C2754">
      <w:pPr>
        <w:spacing w:after="188"/>
        <w:ind w:left="-5" w:right="6"/>
      </w:pPr>
      <w:r>
        <w:t xml:space="preserve">Kent-Meridian High School is </w:t>
      </w:r>
      <w:proofErr w:type="gramStart"/>
      <w:r>
        <w:t>an urban</w:t>
      </w:r>
      <w:r w:rsidR="00FD0EA0">
        <w:t>,</w:t>
      </w:r>
      <w:r>
        <w:t xml:space="preserve"> comprehensive</w:t>
      </w:r>
      <w:r w:rsidR="00FD0EA0">
        <w:t>,</w:t>
      </w:r>
      <w:r>
        <w:t xml:space="preserve"> four-year</w:t>
      </w:r>
      <w:r w:rsidR="007B5BCF">
        <w:t xml:space="preserve"> public high school enrolling 20</w:t>
      </w:r>
      <w:r>
        <w:t>00 students</w:t>
      </w:r>
      <w:proofErr w:type="gramEnd"/>
      <w:r>
        <w:t xml:space="preserve"> </w:t>
      </w:r>
      <w:r w:rsidR="00FD0EA0">
        <w:t>(</w:t>
      </w:r>
      <w:r>
        <w:t>on average</w:t>
      </w:r>
      <w:r w:rsidR="00FD0EA0">
        <w:t>)</w:t>
      </w:r>
      <w:r>
        <w:t xml:space="preserve"> in grades 9 through 12. K</w:t>
      </w:r>
      <w:r w:rsidR="00FD0EA0">
        <w:t>M serves families from over 100</w:t>
      </w:r>
      <w:r>
        <w:t xml:space="preserve"> different countries</w:t>
      </w:r>
      <w:r w:rsidR="00FD0EA0">
        <w:t>,</w:t>
      </w:r>
      <w:r>
        <w:t xml:space="preserve"> who speak over </w:t>
      </w:r>
      <w:r w:rsidR="00FD0EA0">
        <w:t>seventy</w:t>
      </w:r>
      <w:r>
        <w:t xml:space="preserve"> different languages. KM prides itself on its diversity and acceptance of all. The school opened in 1951 and graduated its first class in that same year. Currently, Kent-Meridian High School is nationally accredited by the National Association of Accredited Schools and the International Baccalaureate World School Association.  Our mission statement is specifically des</w:t>
      </w:r>
      <w:r w:rsidR="00735742">
        <w:t>igned to address our population</w:t>
      </w:r>
      <w:r>
        <w:t xml:space="preserve"> as well as the variety of programs we support.   </w:t>
      </w:r>
    </w:p>
    <w:p w:rsidR="005A7237" w:rsidRDefault="001C2754">
      <w:pPr>
        <w:spacing w:after="0" w:line="259" w:lineRule="auto"/>
        <w:ind w:left="730"/>
      </w:pPr>
      <w:r>
        <w:rPr>
          <w:i/>
        </w:rPr>
        <w:t xml:space="preserve">“KM students are prepared with the knowledge and skills necessary to successfully take on the </w:t>
      </w:r>
    </w:p>
    <w:p w:rsidR="00FD0EA0" w:rsidRDefault="001C2754">
      <w:pPr>
        <w:spacing w:after="175" w:line="259" w:lineRule="auto"/>
        <w:ind w:left="-5"/>
      </w:pPr>
      <w:r>
        <w:rPr>
          <w:i/>
        </w:rPr>
        <w:t>responsibilities of college, career, family, and citizenship in a diverse and increasingly competitive global society.”</w:t>
      </w:r>
      <w:r>
        <w:t xml:space="preserve"> </w:t>
      </w:r>
    </w:p>
    <w:p w:rsidR="005A7237" w:rsidRDefault="001C2754">
      <w:pPr>
        <w:spacing w:after="175" w:line="259" w:lineRule="auto"/>
        <w:ind w:left="-5"/>
      </w:pPr>
      <w:r>
        <w:rPr>
          <w:b/>
        </w:rPr>
        <w:t xml:space="preserve">Curriculum </w:t>
      </w:r>
    </w:p>
    <w:p w:rsidR="005A7237" w:rsidRDefault="001C2754">
      <w:pPr>
        <w:spacing w:after="188"/>
        <w:ind w:left="-5" w:right="6"/>
      </w:pPr>
      <w:r>
        <w:t>Kent Meridian’s academic program consists of six periods per day</w:t>
      </w:r>
      <w:r w:rsidR="00971BE0" w:rsidRPr="00971BE0">
        <w:t xml:space="preserve"> </w:t>
      </w:r>
      <w:r w:rsidR="00971BE0">
        <w:t>that average fifty-five minutes</w:t>
      </w:r>
      <w:r>
        <w:t xml:space="preserve">. </w:t>
      </w:r>
      <w:r w:rsidR="00735742">
        <w:t xml:space="preserve">Students earn </w:t>
      </w:r>
      <w:r w:rsidR="00971BE0">
        <w:t>.5</w:t>
      </w:r>
      <w:r w:rsidR="00735742">
        <w:t xml:space="preserve"> credit for each class each semester, or on average, six credits per year.</w:t>
      </w:r>
    </w:p>
    <w:p w:rsidR="005A7237" w:rsidRDefault="001C2754">
      <w:pPr>
        <w:ind w:left="-5" w:right="6"/>
      </w:pPr>
      <w:r>
        <w:lastRenderedPageBreak/>
        <w:t>The International Baccalaureate Diploma Program is recognized worldwide for providing 11</w:t>
      </w:r>
      <w:r w:rsidRPr="00FD0EA0">
        <w:rPr>
          <w:vertAlign w:val="superscript"/>
        </w:rPr>
        <w:t>th</w:t>
      </w:r>
      <w:r w:rsidR="00FD0EA0">
        <w:t>-</w:t>
      </w:r>
      <w:r>
        <w:t xml:space="preserve"> and </w:t>
      </w:r>
    </w:p>
    <w:p w:rsidR="005A7237" w:rsidRDefault="001C2754">
      <w:pPr>
        <w:ind w:left="-5" w:right="6"/>
      </w:pPr>
      <w:r>
        <w:t>12</w:t>
      </w:r>
      <w:r w:rsidR="00FD0EA0" w:rsidRPr="00FD0EA0">
        <w:rPr>
          <w:vertAlign w:val="superscript"/>
        </w:rPr>
        <w:t>th</w:t>
      </w:r>
      <w:r w:rsidR="00FD0EA0">
        <w:t>-</w:t>
      </w:r>
      <w:r>
        <w:t xml:space="preserve"> grade students with a challenging, college preparatory curriculum.</w:t>
      </w:r>
      <w:r>
        <w:rPr>
          <w:rFonts w:ascii="Times New Roman" w:eastAsia="Times New Roman" w:hAnsi="Times New Roman" w:cs="Times New Roman"/>
        </w:rPr>
        <w:t xml:space="preserve"> </w:t>
      </w:r>
      <w:r>
        <w:t xml:space="preserve">Kent-Meridian offers the </w:t>
      </w:r>
      <w:r w:rsidR="00FD0EA0">
        <w:rPr>
          <w:b/>
        </w:rPr>
        <w:t>International Baccalaureate</w:t>
      </w:r>
      <w:r>
        <w:rPr>
          <w:b/>
        </w:rPr>
        <w:t xml:space="preserve"> (IB) Diploma Program</w:t>
      </w:r>
      <w:r w:rsidR="00FD0EA0">
        <w:rPr>
          <w:b/>
        </w:rPr>
        <w:t>.</w:t>
      </w:r>
      <w:r>
        <w:rPr>
          <w:b/>
        </w:rPr>
        <w:t xml:space="preserve"> </w:t>
      </w:r>
      <w:r>
        <w:t xml:space="preserve">Students who choose to become </w:t>
      </w:r>
      <w:r>
        <w:rPr>
          <w:b/>
        </w:rPr>
        <w:t xml:space="preserve">IB Diploma Candidates </w:t>
      </w:r>
      <w:r>
        <w:t xml:space="preserve">complete course work and assessments in seven curricular areas during their junior/senior years. Additionally, students must write an extended research essay of four thousand words and fulfill requirements within a program component known as </w:t>
      </w:r>
      <w:r w:rsidR="00FD0EA0">
        <w:rPr>
          <w:i/>
        </w:rPr>
        <w:t>Creativity, Activity</w:t>
      </w:r>
      <w:r>
        <w:rPr>
          <w:i/>
        </w:rPr>
        <w:t xml:space="preserve">, </w:t>
      </w:r>
      <w:r w:rsidR="00FD0EA0">
        <w:rPr>
          <w:i/>
        </w:rPr>
        <w:t xml:space="preserve">and </w:t>
      </w:r>
      <w:r>
        <w:rPr>
          <w:i/>
        </w:rPr>
        <w:t>Service</w:t>
      </w:r>
      <w:r>
        <w:t xml:space="preserve">. The IB Diploma Program is available to </w:t>
      </w:r>
      <w:r>
        <w:rPr>
          <w:b/>
        </w:rPr>
        <w:t xml:space="preserve">all </w:t>
      </w:r>
      <w:r>
        <w:t>students in the Kent School District</w:t>
      </w:r>
      <w:r w:rsidR="00735742">
        <w:t xml:space="preserve"> who choose to open enroll at KM</w:t>
      </w:r>
      <w:r w:rsidR="00971BE0">
        <w:t>, and our IB classes clearly match our general demographics</w:t>
      </w:r>
      <w:r>
        <w:t>. Students and parents must recognize that success depends on a commitment to academic work during the 11th and 12th grade years. Solid academic skills, the willingness to manage one’s time, and motivation are essential requirements for Diploma</w:t>
      </w:r>
      <w:r w:rsidR="00735742">
        <w:t xml:space="preserve"> Program</w:t>
      </w:r>
      <w:r>
        <w:t xml:space="preserve">. </w:t>
      </w:r>
    </w:p>
    <w:p w:rsidR="005A7237" w:rsidRDefault="001C2754">
      <w:pPr>
        <w:spacing w:after="0" w:line="259" w:lineRule="auto"/>
        <w:ind w:left="0" w:firstLine="0"/>
      </w:pPr>
      <w:r>
        <w:t xml:space="preserve"> </w:t>
      </w:r>
    </w:p>
    <w:p w:rsidR="005A7237" w:rsidRDefault="001C2754">
      <w:pPr>
        <w:ind w:left="-5" w:right="6"/>
      </w:pPr>
      <w:r>
        <w:t xml:space="preserve">Since the inception of the </w:t>
      </w:r>
      <w:r>
        <w:rPr>
          <w:b/>
        </w:rPr>
        <w:t>International Baccalaureate</w:t>
      </w:r>
      <w:r>
        <w:t xml:space="preserve"> program at Kent-Meridian in 2005, thousands of students have participated in the </w:t>
      </w:r>
      <w:r>
        <w:rPr>
          <w:b/>
        </w:rPr>
        <w:t xml:space="preserve">IB </w:t>
      </w:r>
      <w:r>
        <w:t>program</w:t>
      </w:r>
      <w:r>
        <w:rPr>
          <w:b/>
        </w:rPr>
        <w:t xml:space="preserve"> </w:t>
      </w:r>
      <w:r>
        <w:t>to some degree. Statistical analysis between the start year of 2005 and the current year of 201</w:t>
      </w:r>
      <w:r w:rsidR="00735742">
        <w:t>6</w:t>
      </w:r>
      <w:r>
        <w:t xml:space="preserve"> demonstrates the </w:t>
      </w:r>
      <w:proofErr w:type="gramStart"/>
      <w:r>
        <w:t>positive growth</w:t>
      </w:r>
      <w:proofErr w:type="gramEnd"/>
      <w:r>
        <w:t xml:space="preserve"> within the program. Overall, there has been consistent growth in student enrollment and completion through the issuance of an </w:t>
      </w:r>
      <w:r>
        <w:rPr>
          <w:b/>
        </w:rPr>
        <w:t xml:space="preserve">International Baccalaureate Diploma. </w:t>
      </w:r>
      <w:r>
        <w:t xml:space="preserve">Additionally, there have been clear gains in the number of </w:t>
      </w:r>
      <w:r>
        <w:rPr>
          <w:b/>
        </w:rPr>
        <w:t>International Baccalaureate</w:t>
      </w:r>
      <w:r>
        <w:t xml:space="preserve"> tests administered.     The program continues to grow and has become an integral piece of the academic culture provided to students at Kent-Meridian High School. This trend is also demonstrated by the fact that since 2005 the number of </w:t>
      </w:r>
      <w:r>
        <w:rPr>
          <w:b/>
        </w:rPr>
        <w:t>International Baccalaureate</w:t>
      </w:r>
      <w:r>
        <w:t xml:space="preserve"> classes available to students has increased from 8 to </w:t>
      </w:r>
      <w:r w:rsidR="00971BE0">
        <w:t>40</w:t>
      </w:r>
      <w:r>
        <w:t xml:space="preserve"> classes. Testing results for these exams are shown in Table 1. </w:t>
      </w:r>
    </w:p>
    <w:p w:rsidR="005A7237" w:rsidRDefault="001C2754">
      <w:pPr>
        <w:spacing w:after="0" w:line="259" w:lineRule="auto"/>
        <w:ind w:left="0" w:firstLine="0"/>
      </w:pPr>
      <w:r>
        <w:t xml:space="preserve"> </w:t>
      </w:r>
    </w:p>
    <w:p w:rsidR="005A7237" w:rsidRDefault="001C2754">
      <w:pPr>
        <w:spacing w:after="0" w:line="259" w:lineRule="auto"/>
        <w:ind w:left="0" w:right="51" w:firstLine="0"/>
        <w:jc w:val="center"/>
      </w:pPr>
      <w:r>
        <w:rPr>
          <w:b/>
        </w:rPr>
        <w:t xml:space="preserve">Table 1:  International Baccalaureate examination results over the last </w:t>
      </w:r>
      <w:r w:rsidR="00756469">
        <w:rPr>
          <w:b/>
        </w:rPr>
        <w:t>twelve</w:t>
      </w:r>
      <w:r>
        <w:rPr>
          <w:b/>
        </w:rPr>
        <w:t xml:space="preserve"> years </w:t>
      </w:r>
    </w:p>
    <w:p w:rsidR="005A7237" w:rsidRDefault="001C2754">
      <w:pPr>
        <w:spacing w:after="0" w:line="259" w:lineRule="auto"/>
        <w:ind w:left="0" w:firstLine="0"/>
      </w:pPr>
      <w:r>
        <w:t xml:space="preserve"> </w:t>
      </w:r>
    </w:p>
    <w:tbl>
      <w:tblPr>
        <w:tblStyle w:val="TableGrid"/>
        <w:tblW w:w="9897" w:type="dxa"/>
        <w:tblInd w:w="-336" w:type="dxa"/>
        <w:tblCellMar>
          <w:top w:w="6" w:type="dxa"/>
          <w:left w:w="137" w:type="dxa"/>
          <w:right w:w="100" w:type="dxa"/>
        </w:tblCellMar>
        <w:tblLook w:val="04A0" w:firstRow="1" w:lastRow="0" w:firstColumn="1" w:lastColumn="0" w:noHBand="0" w:noVBand="1"/>
      </w:tblPr>
      <w:tblGrid>
        <w:gridCol w:w="1081"/>
        <w:gridCol w:w="1080"/>
        <w:gridCol w:w="1169"/>
        <w:gridCol w:w="1190"/>
        <w:gridCol w:w="1104"/>
        <w:gridCol w:w="1037"/>
        <w:gridCol w:w="1037"/>
        <w:gridCol w:w="975"/>
        <w:gridCol w:w="1224"/>
      </w:tblGrid>
      <w:tr w:rsidR="005A7237">
        <w:trPr>
          <w:trHeight w:val="946"/>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183" w:line="259" w:lineRule="auto"/>
              <w:ind w:left="4" w:firstLine="0"/>
              <w:jc w:val="center"/>
            </w:pPr>
            <w:r>
              <w:rPr>
                <w:rFonts w:ascii="Times New Roman" w:eastAsia="Times New Roman" w:hAnsi="Times New Roman" w:cs="Times New Roman"/>
                <w:sz w:val="16"/>
              </w:rPr>
              <w:t xml:space="preserve"> </w:t>
            </w:r>
          </w:p>
          <w:p w:rsidR="005A7237" w:rsidRDefault="001C2754">
            <w:pPr>
              <w:spacing w:after="0" w:line="259" w:lineRule="auto"/>
              <w:ind w:left="0" w:right="38" w:firstLine="0"/>
              <w:jc w:val="center"/>
            </w:pPr>
            <w:r>
              <w:rPr>
                <w:rFonts w:ascii="Times New Roman" w:eastAsia="Times New Roman" w:hAnsi="Times New Roman" w:cs="Times New Roman"/>
                <w:sz w:val="16"/>
              </w:rPr>
              <w:t xml:space="preserve">Year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38" w:lineRule="auto"/>
              <w:ind w:left="0" w:firstLine="0"/>
              <w:jc w:val="center"/>
            </w:pPr>
            <w:r>
              <w:rPr>
                <w:rFonts w:ascii="Times New Roman" w:eastAsia="Times New Roman" w:hAnsi="Times New Roman" w:cs="Times New Roman"/>
                <w:sz w:val="16"/>
              </w:rPr>
              <w:t xml:space="preserve">Number of Diploma </w:t>
            </w:r>
          </w:p>
          <w:p w:rsidR="005A7237" w:rsidRDefault="001C2754">
            <w:pPr>
              <w:spacing w:after="0" w:line="259" w:lineRule="auto"/>
              <w:ind w:left="0" w:right="35" w:firstLine="0"/>
              <w:jc w:val="center"/>
            </w:pPr>
            <w:r>
              <w:rPr>
                <w:rFonts w:ascii="Times New Roman" w:eastAsia="Times New Roman" w:hAnsi="Times New Roman" w:cs="Times New Roman"/>
                <w:sz w:val="16"/>
              </w:rPr>
              <w:t xml:space="preserve">Candidates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Number of </w:t>
            </w:r>
          </w:p>
          <w:p w:rsidR="005A7237" w:rsidRDefault="001C2754">
            <w:pPr>
              <w:spacing w:after="0" w:line="259" w:lineRule="auto"/>
              <w:ind w:left="0" w:right="40" w:firstLine="0"/>
              <w:jc w:val="center"/>
            </w:pPr>
            <w:r>
              <w:rPr>
                <w:rFonts w:ascii="Times New Roman" w:eastAsia="Times New Roman" w:hAnsi="Times New Roman" w:cs="Times New Roman"/>
                <w:sz w:val="16"/>
              </w:rPr>
              <w:t xml:space="preserve">Diplomas </w:t>
            </w:r>
          </w:p>
          <w:p w:rsidR="005A7237" w:rsidRDefault="001C2754">
            <w:pPr>
              <w:spacing w:after="0" w:line="259" w:lineRule="auto"/>
              <w:ind w:left="0" w:right="41" w:firstLine="0"/>
              <w:jc w:val="center"/>
            </w:pPr>
            <w:r>
              <w:rPr>
                <w:rFonts w:ascii="Times New Roman" w:eastAsia="Times New Roman" w:hAnsi="Times New Roman" w:cs="Times New Roman"/>
                <w:sz w:val="16"/>
              </w:rPr>
              <w:t xml:space="preserve">Awarded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9" w:firstLine="0"/>
              <w:jc w:val="center"/>
            </w:pPr>
            <w:r>
              <w:rPr>
                <w:rFonts w:ascii="Times New Roman" w:eastAsia="Times New Roman" w:hAnsi="Times New Roman" w:cs="Times New Roman"/>
                <w:sz w:val="16"/>
              </w:rPr>
              <w:t xml:space="preserve">Number of </w:t>
            </w:r>
          </w:p>
          <w:p w:rsidR="005A7237" w:rsidRDefault="001C2754">
            <w:pPr>
              <w:spacing w:after="0" w:line="259" w:lineRule="auto"/>
              <w:ind w:left="0" w:right="44" w:firstLine="0"/>
              <w:jc w:val="center"/>
            </w:pPr>
            <w:r>
              <w:rPr>
                <w:rFonts w:ascii="Times New Roman" w:eastAsia="Times New Roman" w:hAnsi="Times New Roman" w:cs="Times New Roman"/>
                <w:sz w:val="16"/>
              </w:rPr>
              <w:t xml:space="preserve">Anticipated </w:t>
            </w:r>
          </w:p>
          <w:p w:rsidR="005A7237" w:rsidRDefault="001C2754">
            <w:pPr>
              <w:spacing w:after="0" w:line="259" w:lineRule="auto"/>
              <w:ind w:left="0" w:right="41" w:firstLine="0"/>
              <w:jc w:val="center"/>
            </w:pPr>
            <w:r>
              <w:rPr>
                <w:rFonts w:ascii="Times New Roman" w:eastAsia="Times New Roman" w:hAnsi="Times New Roman" w:cs="Times New Roman"/>
                <w:sz w:val="16"/>
              </w:rPr>
              <w:t xml:space="preserve">Candidates*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9" w:firstLine="0"/>
              <w:jc w:val="center"/>
            </w:pPr>
            <w:r>
              <w:rPr>
                <w:rFonts w:ascii="Times New Roman" w:eastAsia="Times New Roman" w:hAnsi="Times New Roman" w:cs="Times New Roman"/>
                <w:sz w:val="16"/>
              </w:rPr>
              <w:t xml:space="preserve">Number of </w:t>
            </w:r>
          </w:p>
          <w:p w:rsidR="005A7237" w:rsidRDefault="001C2754">
            <w:pPr>
              <w:spacing w:after="0" w:line="259" w:lineRule="auto"/>
              <w:ind w:left="0" w:right="36" w:firstLine="0"/>
              <w:jc w:val="center"/>
            </w:pPr>
            <w:r>
              <w:rPr>
                <w:rFonts w:ascii="Times New Roman" w:eastAsia="Times New Roman" w:hAnsi="Times New Roman" w:cs="Times New Roman"/>
                <w:sz w:val="16"/>
              </w:rPr>
              <w:t xml:space="preserve">Certificate </w:t>
            </w:r>
          </w:p>
          <w:p w:rsidR="005A7237" w:rsidRDefault="001C2754">
            <w:pPr>
              <w:spacing w:after="0" w:line="259" w:lineRule="auto"/>
              <w:ind w:left="0" w:right="35" w:firstLine="0"/>
              <w:jc w:val="center"/>
            </w:pPr>
            <w:r>
              <w:rPr>
                <w:rFonts w:ascii="Times New Roman" w:eastAsia="Times New Roman" w:hAnsi="Times New Roman" w:cs="Times New Roman"/>
                <w:sz w:val="16"/>
              </w:rPr>
              <w:t xml:space="preserve">Candidates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38" w:lineRule="auto"/>
              <w:ind w:left="0" w:firstLine="0"/>
              <w:jc w:val="center"/>
            </w:pPr>
            <w:r>
              <w:rPr>
                <w:rFonts w:ascii="Times New Roman" w:eastAsia="Times New Roman" w:hAnsi="Times New Roman" w:cs="Times New Roman"/>
                <w:sz w:val="16"/>
              </w:rPr>
              <w:t xml:space="preserve">Total number of </w:t>
            </w:r>
          </w:p>
          <w:p w:rsidR="005A7237" w:rsidRDefault="001C2754">
            <w:pPr>
              <w:spacing w:after="0" w:line="259" w:lineRule="auto"/>
              <w:ind w:left="0" w:firstLine="0"/>
              <w:jc w:val="center"/>
            </w:pPr>
            <w:r>
              <w:rPr>
                <w:rFonts w:ascii="Times New Roman" w:eastAsia="Times New Roman" w:hAnsi="Times New Roman" w:cs="Times New Roman"/>
                <w:sz w:val="16"/>
              </w:rPr>
              <w:t xml:space="preserve">candidates examined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9" w:firstLine="0"/>
              <w:jc w:val="center"/>
            </w:pPr>
            <w:r>
              <w:rPr>
                <w:rFonts w:ascii="Times New Roman" w:eastAsia="Times New Roman" w:hAnsi="Times New Roman" w:cs="Times New Roman"/>
                <w:sz w:val="16"/>
              </w:rPr>
              <w:t xml:space="preserve">Number of </w:t>
            </w:r>
          </w:p>
          <w:p w:rsidR="005A7237" w:rsidRDefault="001C2754">
            <w:pPr>
              <w:spacing w:after="0" w:line="259" w:lineRule="auto"/>
              <w:ind w:left="0" w:firstLine="0"/>
              <w:jc w:val="center"/>
            </w:pPr>
            <w:r>
              <w:rPr>
                <w:rFonts w:ascii="Times New Roman" w:eastAsia="Times New Roman" w:hAnsi="Times New Roman" w:cs="Times New Roman"/>
                <w:sz w:val="16"/>
              </w:rPr>
              <w:t xml:space="preserve">HL exams written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rPr>
                <w:rFonts w:ascii="Times New Roman" w:eastAsia="Times New Roman" w:hAnsi="Times New Roman" w:cs="Times New Roman"/>
                <w:sz w:val="16"/>
              </w:rPr>
              <w:t xml:space="preserve">Number of </w:t>
            </w:r>
          </w:p>
          <w:p w:rsidR="005A7237" w:rsidRDefault="001C2754">
            <w:pPr>
              <w:spacing w:after="0" w:line="259" w:lineRule="auto"/>
              <w:ind w:left="0" w:firstLine="0"/>
              <w:jc w:val="center"/>
            </w:pPr>
            <w:r>
              <w:rPr>
                <w:rFonts w:ascii="Times New Roman" w:eastAsia="Times New Roman" w:hAnsi="Times New Roman" w:cs="Times New Roman"/>
                <w:sz w:val="16"/>
              </w:rPr>
              <w:t xml:space="preserve">SL exams written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11" w:hanging="11"/>
              <w:jc w:val="center"/>
            </w:pPr>
            <w:r>
              <w:rPr>
                <w:rFonts w:ascii="Times New Roman" w:eastAsia="Times New Roman" w:hAnsi="Times New Roman" w:cs="Times New Roman"/>
                <w:sz w:val="16"/>
              </w:rPr>
              <w:t xml:space="preserve">Total number of exams written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2005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0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21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22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38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41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2006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0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42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44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56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32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88 </w:t>
            </w:r>
          </w:p>
        </w:tc>
      </w:tr>
      <w:tr w:rsidR="005A7237">
        <w:trPr>
          <w:trHeight w:val="420"/>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2007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5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12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32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37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67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37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104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2008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16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6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29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45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85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51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136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2009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10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10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6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31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41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85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51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136 </w:t>
            </w:r>
          </w:p>
        </w:tc>
      </w:tr>
      <w:tr w:rsidR="005A7237">
        <w:trPr>
          <w:trHeight w:val="420"/>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2010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11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7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25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32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43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101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72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173 </w:t>
            </w:r>
          </w:p>
        </w:tc>
      </w:tr>
      <w:tr w:rsidR="005A7237">
        <w:trPr>
          <w:trHeight w:val="423"/>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2011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15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9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25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36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51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114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79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192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2012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18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7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24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45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63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127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122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249 </w:t>
            </w:r>
          </w:p>
        </w:tc>
      </w:tr>
      <w:tr w:rsidR="005A7237">
        <w:trPr>
          <w:trHeight w:val="420"/>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2013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21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18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32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28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49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116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79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195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2014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25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17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11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52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77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131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75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206 </w:t>
            </w:r>
          </w:p>
        </w:tc>
      </w:tr>
      <w:tr w:rsidR="005A7237">
        <w:trPr>
          <w:trHeight w:val="422"/>
        </w:trPr>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7" w:firstLine="0"/>
              <w:jc w:val="center"/>
            </w:pPr>
            <w:r>
              <w:rPr>
                <w:rFonts w:ascii="Times New Roman" w:eastAsia="Times New Roman" w:hAnsi="Times New Roman" w:cs="Times New Roman"/>
                <w:sz w:val="16"/>
              </w:rPr>
              <w:t xml:space="preserve">2015 </w:t>
            </w:r>
          </w:p>
        </w:tc>
        <w:tc>
          <w:tcPr>
            <w:tcW w:w="108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9 </w:t>
            </w:r>
          </w:p>
        </w:tc>
        <w:tc>
          <w:tcPr>
            <w:tcW w:w="1169"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5 </w:t>
            </w:r>
          </w:p>
        </w:tc>
        <w:tc>
          <w:tcPr>
            <w:tcW w:w="1190"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19 </w:t>
            </w:r>
          </w:p>
        </w:tc>
        <w:tc>
          <w:tcPr>
            <w:tcW w:w="110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45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3" w:firstLine="0"/>
              <w:jc w:val="center"/>
            </w:pPr>
            <w:r>
              <w:rPr>
                <w:rFonts w:ascii="Times New Roman" w:eastAsia="Times New Roman" w:hAnsi="Times New Roman" w:cs="Times New Roman"/>
                <w:sz w:val="16"/>
              </w:rPr>
              <w:t xml:space="preserve">54 </w:t>
            </w:r>
          </w:p>
        </w:tc>
        <w:tc>
          <w:tcPr>
            <w:tcW w:w="1037"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6" w:firstLine="0"/>
              <w:jc w:val="center"/>
            </w:pPr>
            <w:r>
              <w:rPr>
                <w:rFonts w:ascii="Times New Roman" w:eastAsia="Times New Roman" w:hAnsi="Times New Roman" w:cs="Times New Roman"/>
                <w:sz w:val="16"/>
              </w:rPr>
              <w:t xml:space="preserve">102 </w:t>
            </w:r>
          </w:p>
        </w:tc>
        <w:tc>
          <w:tcPr>
            <w:tcW w:w="975"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38" w:firstLine="0"/>
              <w:jc w:val="center"/>
            </w:pPr>
            <w:r>
              <w:rPr>
                <w:rFonts w:ascii="Times New Roman" w:eastAsia="Times New Roman" w:hAnsi="Times New Roman" w:cs="Times New Roman"/>
                <w:sz w:val="16"/>
              </w:rPr>
              <w:t xml:space="preserve">68 </w:t>
            </w:r>
          </w:p>
        </w:tc>
        <w:tc>
          <w:tcPr>
            <w:tcW w:w="122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right="40" w:firstLine="0"/>
              <w:jc w:val="center"/>
            </w:pPr>
            <w:r>
              <w:rPr>
                <w:rFonts w:ascii="Times New Roman" w:eastAsia="Times New Roman" w:hAnsi="Times New Roman" w:cs="Times New Roman"/>
                <w:sz w:val="16"/>
              </w:rPr>
              <w:t xml:space="preserve">170 </w:t>
            </w:r>
          </w:p>
        </w:tc>
      </w:tr>
      <w:tr w:rsidR="00113731">
        <w:trPr>
          <w:trHeight w:val="422"/>
        </w:trPr>
        <w:tc>
          <w:tcPr>
            <w:tcW w:w="1080" w:type="dxa"/>
            <w:tcBorders>
              <w:top w:val="single" w:sz="4" w:space="0" w:color="000000"/>
              <w:left w:val="single" w:sz="4" w:space="0" w:color="000000"/>
              <w:bottom w:val="single" w:sz="4" w:space="0" w:color="000000"/>
              <w:right w:val="single" w:sz="4" w:space="0" w:color="000000"/>
            </w:tcBorders>
          </w:tcPr>
          <w:p w:rsidR="00113731" w:rsidRDefault="00113731">
            <w:pPr>
              <w:spacing w:after="0" w:line="259" w:lineRule="auto"/>
              <w:ind w:left="0" w:right="37" w:firstLine="0"/>
              <w:jc w:val="center"/>
              <w:rPr>
                <w:rFonts w:ascii="Times New Roman" w:eastAsia="Times New Roman" w:hAnsi="Times New Roman" w:cs="Times New Roman"/>
                <w:sz w:val="16"/>
              </w:rPr>
            </w:pPr>
            <w:r>
              <w:rPr>
                <w:rFonts w:ascii="Times New Roman" w:eastAsia="Times New Roman" w:hAnsi="Times New Roman" w:cs="Times New Roman"/>
                <w:sz w:val="16"/>
              </w:rPr>
              <w:t>2016</w:t>
            </w:r>
          </w:p>
        </w:tc>
        <w:tc>
          <w:tcPr>
            <w:tcW w:w="1080" w:type="dxa"/>
            <w:tcBorders>
              <w:top w:val="single" w:sz="4" w:space="0" w:color="000000"/>
              <w:left w:val="single" w:sz="4" w:space="0" w:color="000000"/>
              <w:bottom w:val="single" w:sz="4" w:space="0" w:color="000000"/>
              <w:right w:val="single" w:sz="4" w:space="0" w:color="000000"/>
            </w:tcBorders>
          </w:tcPr>
          <w:p w:rsidR="00113731" w:rsidRDefault="00113731">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18</w:t>
            </w:r>
          </w:p>
        </w:tc>
        <w:tc>
          <w:tcPr>
            <w:tcW w:w="1169" w:type="dxa"/>
            <w:tcBorders>
              <w:top w:val="single" w:sz="4" w:space="0" w:color="000000"/>
              <w:left w:val="single" w:sz="4" w:space="0" w:color="000000"/>
              <w:bottom w:val="single" w:sz="4" w:space="0" w:color="000000"/>
              <w:right w:val="single" w:sz="4" w:space="0" w:color="000000"/>
            </w:tcBorders>
          </w:tcPr>
          <w:p w:rsidR="00113731" w:rsidRDefault="00113731">
            <w:pPr>
              <w:spacing w:after="0" w:line="259" w:lineRule="auto"/>
              <w:ind w:left="0" w:right="36" w:firstLine="0"/>
              <w:jc w:val="center"/>
              <w:rPr>
                <w:rFonts w:ascii="Times New Roman" w:eastAsia="Times New Roman" w:hAnsi="Times New Roman" w:cs="Times New Roman"/>
                <w:sz w:val="16"/>
              </w:rPr>
            </w:pPr>
            <w:r>
              <w:rPr>
                <w:rFonts w:ascii="Times New Roman" w:eastAsia="Times New Roman" w:hAnsi="Times New Roman" w:cs="Times New Roman"/>
                <w:sz w:val="16"/>
              </w:rPr>
              <w:t>9</w:t>
            </w:r>
          </w:p>
        </w:tc>
        <w:tc>
          <w:tcPr>
            <w:tcW w:w="1190" w:type="dxa"/>
            <w:tcBorders>
              <w:top w:val="single" w:sz="4" w:space="0" w:color="000000"/>
              <w:left w:val="single" w:sz="4" w:space="0" w:color="000000"/>
              <w:bottom w:val="single" w:sz="4" w:space="0" w:color="000000"/>
              <w:right w:val="single" w:sz="4" w:space="0" w:color="000000"/>
            </w:tcBorders>
          </w:tcPr>
          <w:p w:rsidR="00113731" w:rsidRDefault="003355FF">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33</w:t>
            </w:r>
          </w:p>
        </w:tc>
        <w:tc>
          <w:tcPr>
            <w:tcW w:w="1104" w:type="dxa"/>
            <w:tcBorders>
              <w:top w:val="single" w:sz="4" w:space="0" w:color="000000"/>
              <w:left w:val="single" w:sz="4" w:space="0" w:color="000000"/>
              <w:bottom w:val="single" w:sz="4" w:space="0" w:color="000000"/>
              <w:right w:val="single" w:sz="4" w:space="0" w:color="000000"/>
            </w:tcBorders>
          </w:tcPr>
          <w:p w:rsidR="00113731" w:rsidRDefault="00871CEE">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57</w:t>
            </w:r>
          </w:p>
        </w:tc>
        <w:tc>
          <w:tcPr>
            <w:tcW w:w="1037" w:type="dxa"/>
            <w:tcBorders>
              <w:top w:val="single" w:sz="4" w:space="0" w:color="000000"/>
              <w:left w:val="single" w:sz="4" w:space="0" w:color="000000"/>
              <w:bottom w:val="single" w:sz="4" w:space="0" w:color="000000"/>
              <w:right w:val="single" w:sz="4" w:space="0" w:color="000000"/>
            </w:tcBorders>
          </w:tcPr>
          <w:p w:rsidR="00113731" w:rsidRDefault="00871CEE">
            <w:pPr>
              <w:spacing w:after="0" w:line="259" w:lineRule="auto"/>
              <w:ind w:left="0" w:right="43" w:firstLine="0"/>
              <w:jc w:val="center"/>
              <w:rPr>
                <w:rFonts w:ascii="Times New Roman" w:eastAsia="Times New Roman" w:hAnsi="Times New Roman" w:cs="Times New Roman"/>
                <w:sz w:val="16"/>
              </w:rPr>
            </w:pPr>
            <w:r>
              <w:rPr>
                <w:rFonts w:ascii="Times New Roman" w:eastAsia="Times New Roman" w:hAnsi="Times New Roman" w:cs="Times New Roman"/>
                <w:sz w:val="16"/>
              </w:rPr>
              <w:t>96</w:t>
            </w:r>
          </w:p>
        </w:tc>
        <w:tc>
          <w:tcPr>
            <w:tcW w:w="1037" w:type="dxa"/>
            <w:tcBorders>
              <w:top w:val="single" w:sz="4" w:space="0" w:color="000000"/>
              <w:left w:val="single" w:sz="4" w:space="0" w:color="000000"/>
              <w:bottom w:val="single" w:sz="4" w:space="0" w:color="000000"/>
              <w:right w:val="single" w:sz="4" w:space="0" w:color="000000"/>
            </w:tcBorders>
          </w:tcPr>
          <w:p w:rsidR="00113731" w:rsidRDefault="00871CEE">
            <w:pPr>
              <w:spacing w:after="0" w:line="259" w:lineRule="auto"/>
              <w:ind w:left="0" w:right="36" w:firstLine="0"/>
              <w:jc w:val="center"/>
              <w:rPr>
                <w:rFonts w:ascii="Times New Roman" w:eastAsia="Times New Roman" w:hAnsi="Times New Roman" w:cs="Times New Roman"/>
                <w:sz w:val="16"/>
              </w:rPr>
            </w:pPr>
            <w:r>
              <w:rPr>
                <w:rFonts w:ascii="Times New Roman" w:eastAsia="Times New Roman" w:hAnsi="Times New Roman" w:cs="Times New Roman"/>
                <w:sz w:val="16"/>
              </w:rPr>
              <w:t>113</w:t>
            </w:r>
          </w:p>
        </w:tc>
        <w:tc>
          <w:tcPr>
            <w:tcW w:w="975" w:type="dxa"/>
            <w:tcBorders>
              <w:top w:val="single" w:sz="4" w:space="0" w:color="000000"/>
              <w:left w:val="single" w:sz="4" w:space="0" w:color="000000"/>
              <w:bottom w:val="single" w:sz="4" w:space="0" w:color="000000"/>
              <w:right w:val="single" w:sz="4" w:space="0" w:color="000000"/>
            </w:tcBorders>
          </w:tcPr>
          <w:p w:rsidR="00113731" w:rsidRDefault="00871CEE">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98</w:t>
            </w:r>
          </w:p>
        </w:tc>
        <w:tc>
          <w:tcPr>
            <w:tcW w:w="1224" w:type="dxa"/>
            <w:tcBorders>
              <w:top w:val="single" w:sz="4" w:space="0" w:color="000000"/>
              <w:left w:val="single" w:sz="4" w:space="0" w:color="000000"/>
              <w:bottom w:val="single" w:sz="4" w:space="0" w:color="000000"/>
              <w:right w:val="single" w:sz="4" w:space="0" w:color="000000"/>
            </w:tcBorders>
          </w:tcPr>
          <w:p w:rsidR="00113731" w:rsidRDefault="00871CEE">
            <w:pPr>
              <w:spacing w:after="0" w:line="259" w:lineRule="auto"/>
              <w:ind w:left="0" w:right="40" w:firstLine="0"/>
              <w:jc w:val="center"/>
              <w:rPr>
                <w:rFonts w:ascii="Times New Roman" w:eastAsia="Times New Roman" w:hAnsi="Times New Roman" w:cs="Times New Roman"/>
                <w:sz w:val="16"/>
              </w:rPr>
            </w:pPr>
            <w:r>
              <w:rPr>
                <w:rFonts w:ascii="Times New Roman" w:eastAsia="Times New Roman" w:hAnsi="Times New Roman" w:cs="Times New Roman"/>
                <w:sz w:val="16"/>
              </w:rPr>
              <w:t>211</w:t>
            </w:r>
          </w:p>
        </w:tc>
      </w:tr>
      <w:tr w:rsidR="00971BE0">
        <w:trPr>
          <w:trHeight w:val="422"/>
        </w:trPr>
        <w:tc>
          <w:tcPr>
            <w:tcW w:w="1080" w:type="dxa"/>
            <w:tcBorders>
              <w:top w:val="single" w:sz="4" w:space="0" w:color="000000"/>
              <w:left w:val="single" w:sz="4" w:space="0" w:color="000000"/>
              <w:bottom w:val="single" w:sz="4" w:space="0" w:color="000000"/>
              <w:right w:val="single" w:sz="4" w:space="0" w:color="000000"/>
            </w:tcBorders>
          </w:tcPr>
          <w:p w:rsidR="00971BE0" w:rsidRDefault="00971BE0">
            <w:pPr>
              <w:spacing w:after="0" w:line="259" w:lineRule="auto"/>
              <w:ind w:left="0" w:right="37" w:firstLine="0"/>
              <w:jc w:val="center"/>
              <w:rPr>
                <w:rFonts w:ascii="Times New Roman" w:eastAsia="Times New Roman" w:hAnsi="Times New Roman" w:cs="Times New Roman"/>
                <w:sz w:val="16"/>
              </w:rPr>
            </w:pPr>
            <w:r>
              <w:rPr>
                <w:rFonts w:ascii="Times New Roman" w:eastAsia="Times New Roman" w:hAnsi="Times New Roman" w:cs="Times New Roman"/>
                <w:sz w:val="16"/>
              </w:rPr>
              <w:t>2017</w:t>
            </w:r>
          </w:p>
        </w:tc>
        <w:tc>
          <w:tcPr>
            <w:tcW w:w="1080" w:type="dxa"/>
            <w:tcBorders>
              <w:top w:val="single" w:sz="4" w:space="0" w:color="000000"/>
              <w:left w:val="single" w:sz="4" w:space="0" w:color="000000"/>
              <w:bottom w:val="single" w:sz="4" w:space="0" w:color="000000"/>
              <w:right w:val="single" w:sz="4" w:space="0" w:color="000000"/>
            </w:tcBorders>
          </w:tcPr>
          <w:p w:rsidR="00971BE0" w:rsidRDefault="00971BE0">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22</w:t>
            </w:r>
          </w:p>
        </w:tc>
        <w:tc>
          <w:tcPr>
            <w:tcW w:w="1169" w:type="dxa"/>
            <w:tcBorders>
              <w:top w:val="single" w:sz="4" w:space="0" w:color="000000"/>
              <w:left w:val="single" w:sz="4" w:space="0" w:color="000000"/>
              <w:bottom w:val="single" w:sz="4" w:space="0" w:color="000000"/>
              <w:right w:val="single" w:sz="4" w:space="0" w:color="000000"/>
            </w:tcBorders>
          </w:tcPr>
          <w:p w:rsidR="00971BE0" w:rsidRDefault="00971BE0">
            <w:pPr>
              <w:spacing w:after="0" w:line="259" w:lineRule="auto"/>
              <w:ind w:left="0" w:right="36" w:firstLine="0"/>
              <w:jc w:val="center"/>
              <w:rPr>
                <w:rFonts w:ascii="Times New Roman" w:eastAsia="Times New Roman" w:hAnsi="Times New Roman" w:cs="Times New Roman"/>
                <w:sz w:val="16"/>
              </w:rPr>
            </w:pPr>
            <w:r>
              <w:rPr>
                <w:rFonts w:ascii="Times New Roman" w:eastAsia="Times New Roman" w:hAnsi="Times New Roman" w:cs="Times New Roman"/>
                <w:sz w:val="16"/>
              </w:rPr>
              <w:t>12</w:t>
            </w:r>
          </w:p>
        </w:tc>
        <w:tc>
          <w:tcPr>
            <w:tcW w:w="1190"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33</w:t>
            </w:r>
          </w:p>
        </w:tc>
        <w:tc>
          <w:tcPr>
            <w:tcW w:w="1104"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37</w:t>
            </w:r>
          </w:p>
        </w:tc>
        <w:tc>
          <w:tcPr>
            <w:tcW w:w="1037"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43" w:firstLine="0"/>
              <w:jc w:val="center"/>
              <w:rPr>
                <w:rFonts w:ascii="Times New Roman" w:eastAsia="Times New Roman" w:hAnsi="Times New Roman" w:cs="Times New Roman"/>
                <w:sz w:val="16"/>
              </w:rPr>
            </w:pPr>
            <w:r>
              <w:rPr>
                <w:rFonts w:ascii="Times New Roman" w:eastAsia="Times New Roman" w:hAnsi="Times New Roman" w:cs="Times New Roman"/>
                <w:sz w:val="16"/>
              </w:rPr>
              <w:t>90</w:t>
            </w:r>
          </w:p>
        </w:tc>
        <w:tc>
          <w:tcPr>
            <w:tcW w:w="1037"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36" w:firstLine="0"/>
              <w:jc w:val="center"/>
              <w:rPr>
                <w:rFonts w:ascii="Times New Roman" w:eastAsia="Times New Roman" w:hAnsi="Times New Roman" w:cs="Times New Roman"/>
                <w:sz w:val="16"/>
              </w:rPr>
            </w:pPr>
            <w:r>
              <w:rPr>
                <w:rFonts w:ascii="Times New Roman" w:eastAsia="Times New Roman" w:hAnsi="Times New Roman" w:cs="Times New Roman"/>
                <w:sz w:val="16"/>
              </w:rPr>
              <w:t>107</w:t>
            </w:r>
          </w:p>
        </w:tc>
        <w:tc>
          <w:tcPr>
            <w:tcW w:w="975"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38" w:firstLine="0"/>
              <w:jc w:val="center"/>
              <w:rPr>
                <w:rFonts w:ascii="Times New Roman" w:eastAsia="Times New Roman" w:hAnsi="Times New Roman" w:cs="Times New Roman"/>
                <w:sz w:val="16"/>
              </w:rPr>
            </w:pPr>
            <w:r>
              <w:rPr>
                <w:rFonts w:ascii="Times New Roman" w:eastAsia="Times New Roman" w:hAnsi="Times New Roman" w:cs="Times New Roman"/>
                <w:sz w:val="16"/>
              </w:rPr>
              <w:t>105</w:t>
            </w:r>
          </w:p>
        </w:tc>
        <w:tc>
          <w:tcPr>
            <w:tcW w:w="1224" w:type="dxa"/>
            <w:tcBorders>
              <w:top w:val="single" w:sz="4" w:space="0" w:color="000000"/>
              <w:left w:val="single" w:sz="4" w:space="0" w:color="000000"/>
              <w:bottom w:val="single" w:sz="4" w:space="0" w:color="000000"/>
              <w:right w:val="single" w:sz="4" w:space="0" w:color="000000"/>
            </w:tcBorders>
          </w:tcPr>
          <w:p w:rsidR="00971BE0" w:rsidRDefault="002E1DA9">
            <w:pPr>
              <w:spacing w:after="0" w:line="259" w:lineRule="auto"/>
              <w:ind w:left="0" w:right="40" w:firstLine="0"/>
              <w:jc w:val="center"/>
              <w:rPr>
                <w:rFonts w:ascii="Times New Roman" w:eastAsia="Times New Roman" w:hAnsi="Times New Roman" w:cs="Times New Roman"/>
                <w:sz w:val="16"/>
              </w:rPr>
            </w:pPr>
            <w:r>
              <w:rPr>
                <w:rFonts w:ascii="Times New Roman" w:eastAsia="Times New Roman" w:hAnsi="Times New Roman" w:cs="Times New Roman"/>
                <w:sz w:val="16"/>
              </w:rPr>
              <w:t>212</w:t>
            </w:r>
          </w:p>
        </w:tc>
      </w:tr>
    </w:tbl>
    <w:p w:rsidR="005A7237" w:rsidRDefault="001C2754">
      <w:pPr>
        <w:spacing w:after="209" w:line="259" w:lineRule="auto"/>
        <w:ind w:left="0" w:firstLine="0"/>
      </w:pPr>
      <w:r>
        <w:rPr>
          <w:rFonts w:ascii="Times New Roman" w:eastAsia="Times New Roman" w:hAnsi="Times New Roman" w:cs="Times New Roman"/>
          <w:sz w:val="16"/>
        </w:rPr>
        <w:t xml:space="preserve"> </w:t>
      </w:r>
    </w:p>
    <w:p w:rsidR="005A7237" w:rsidRDefault="005A7237">
      <w:pPr>
        <w:spacing w:after="0" w:line="259" w:lineRule="auto"/>
        <w:ind w:left="0" w:firstLine="0"/>
      </w:pPr>
    </w:p>
    <w:p w:rsidR="00971BE0" w:rsidRDefault="001C2754" w:rsidP="002E1DA9">
      <w:r>
        <w:lastRenderedPageBreak/>
        <w:t xml:space="preserve"> </w:t>
      </w:r>
      <w:r w:rsidR="002E1DA9">
        <w:t xml:space="preserve">IB STUDENT DEMOGRAPHICS </w:t>
      </w:r>
    </w:p>
    <w:p w:rsidR="00971BE0" w:rsidRDefault="00971BE0" w:rsidP="00971BE0"/>
    <w:tbl>
      <w:tblPr>
        <w:tblStyle w:val="TableGrid0"/>
        <w:tblpPr w:leftFromText="180" w:rightFromText="180" w:vertAnchor="text" w:horzAnchor="margin" w:tblpY="452"/>
        <w:tblW w:w="9895" w:type="dxa"/>
        <w:tblLook w:val="04A0" w:firstRow="1" w:lastRow="0" w:firstColumn="1" w:lastColumn="0" w:noHBand="0" w:noVBand="1"/>
      </w:tblPr>
      <w:tblGrid>
        <w:gridCol w:w="2223"/>
        <w:gridCol w:w="627"/>
        <w:gridCol w:w="597"/>
        <w:gridCol w:w="685"/>
        <w:gridCol w:w="1073"/>
        <w:gridCol w:w="770"/>
        <w:gridCol w:w="771"/>
        <w:gridCol w:w="761"/>
        <w:gridCol w:w="701"/>
        <w:gridCol w:w="656"/>
        <w:gridCol w:w="509"/>
        <w:gridCol w:w="522"/>
      </w:tblGrid>
      <w:tr w:rsidR="002E1DA9" w:rsidTr="002E1DA9">
        <w:trPr>
          <w:trHeight w:val="270"/>
        </w:trPr>
        <w:tc>
          <w:tcPr>
            <w:tcW w:w="2223" w:type="dxa"/>
            <w:vMerge w:val="restart"/>
          </w:tcPr>
          <w:p w:rsidR="002E1DA9" w:rsidRDefault="002E1DA9" w:rsidP="002E1DA9">
            <w:r>
              <w:t>Student Group</w:t>
            </w:r>
          </w:p>
        </w:tc>
        <w:tc>
          <w:tcPr>
            <w:tcW w:w="1224" w:type="dxa"/>
            <w:gridSpan w:val="2"/>
          </w:tcPr>
          <w:p w:rsidR="002E1DA9" w:rsidRDefault="002E1DA9" w:rsidP="002E1DA9">
            <w:pPr>
              <w:jc w:val="center"/>
            </w:pPr>
            <w:r>
              <w:t>Sex</w:t>
            </w:r>
          </w:p>
        </w:tc>
        <w:tc>
          <w:tcPr>
            <w:tcW w:w="4761" w:type="dxa"/>
            <w:gridSpan w:val="6"/>
          </w:tcPr>
          <w:p w:rsidR="002E1DA9" w:rsidRDefault="002E1DA9" w:rsidP="002E1DA9">
            <w:pPr>
              <w:jc w:val="center"/>
            </w:pPr>
            <w:r>
              <w:t>Race</w:t>
            </w:r>
          </w:p>
        </w:tc>
        <w:tc>
          <w:tcPr>
            <w:tcW w:w="656" w:type="dxa"/>
            <w:vMerge w:val="restart"/>
          </w:tcPr>
          <w:p w:rsidR="002E1DA9" w:rsidRDefault="002E1DA9" w:rsidP="002E1DA9">
            <w:r>
              <w:t>SpEd</w:t>
            </w:r>
          </w:p>
        </w:tc>
        <w:tc>
          <w:tcPr>
            <w:tcW w:w="509" w:type="dxa"/>
            <w:vMerge w:val="restart"/>
          </w:tcPr>
          <w:p w:rsidR="002E1DA9" w:rsidRDefault="002E1DA9" w:rsidP="002E1DA9">
            <w:r>
              <w:t>ELL</w:t>
            </w:r>
          </w:p>
        </w:tc>
        <w:tc>
          <w:tcPr>
            <w:tcW w:w="522" w:type="dxa"/>
            <w:vMerge w:val="restart"/>
          </w:tcPr>
          <w:p w:rsidR="002E1DA9" w:rsidRDefault="002E1DA9" w:rsidP="002E1DA9">
            <w:r>
              <w:t>F/R</w:t>
            </w:r>
          </w:p>
        </w:tc>
      </w:tr>
      <w:tr w:rsidR="002E1DA9" w:rsidTr="002E1DA9">
        <w:trPr>
          <w:trHeight w:val="270"/>
        </w:trPr>
        <w:tc>
          <w:tcPr>
            <w:tcW w:w="2223" w:type="dxa"/>
            <w:vMerge/>
          </w:tcPr>
          <w:p w:rsidR="002E1DA9" w:rsidRDefault="002E1DA9" w:rsidP="002E1DA9"/>
        </w:tc>
        <w:tc>
          <w:tcPr>
            <w:tcW w:w="627" w:type="dxa"/>
          </w:tcPr>
          <w:p w:rsidR="002E1DA9" w:rsidRDefault="002E1DA9" w:rsidP="002E1DA9">
            <w:r>
              <w:t>M</w:t>
            </w:r>
          </w:p>
        </w:tc>
        <w:tc>
          <w:tcPr>
            <w:tcW w:w="597" w:type="dxa"/>
          </w:tcPr>
          <w:p w:rsidR="002E1DA9" w:rsidRDefault="002E1DA9" w:rsidP="002E1DA9">
            <w:r>
              <w:t>F</w:t>
            </w:r>
          </w:p>
        </w:tc>
        <w:tc>
          <w:tcPr>
            <w:tcW w:w="685" w:type="dxa"/>
          </w:tcPr>
          <w:p w:rsidR="002E1DA9" w:rsidRDefault="002E1DA9" w:rsidP="002E1DA9">
            <w:r>
              <w:t>Black</w:t>
            </w:r>
          </w:p>
        </w:tc>
        <w:tc>
          <w:tcPr>
            <w:tcW w:w="1073" w:type="dxa"/>
          </w:tcPr>
          <w:p w:rsidR="002E1DA9" w:rsidRDefault="002E1DA9" w:rsidP="002E1DA9">
            <w:r>
              <w:t>Hawaiian</w:t>
            </w:r>
          </w:p>
        </w:tc>
        <w:tc>
          <w:tcPr>
            <w:tcW w:w="770" w:type="dxa"/>
          </w:tcPr>
          <w:p w:rsidR="002E1DA9" w:rsidRDefault="002E1DA9" w:rsidP="002E1DA9">
            <w:r>
              <w:t>Latino</w:t>
            </w:r>
          </w:p>
        </w:tc>
        <w:tc>
          <w:tcPr>
            <w:tcW w:w="771" w:type="dxa"/>
          </w:tcPr>
          <w:p w:rsidR="002E1DA9" w:rsidRDefault="002E1DA9" w:rsidP="002E1DA9">
            <w:r>
              <w:t>Multi</w:t>
            </w:r>
          </w:p>
        </w:tc>
        <w:tc>
          <w:tcPr>
            <w:tcW w:w="761" w:type="dxa"/>
          </w:tcPr>
          <w:p w:rsidR="002E1DA9" w:rsidRDefault="002E1DA9" w:rsidP="002E1DA9">
            <w:r>
              <w:t>White</w:t>
            </w:r>
          </w:p>
        </w:tc>
        <w:tc>
          <w:tcPr>
            <w:tcW w:w="701" w:type="dxa"/>
          </w:tcPr>
          <w:p w:rsidR="002E1DA9" w:rsidRDefault="002E1DA9" w:rsidP="002E1DA9">
            <w:r>
              <w:t>Asian</w:t>
            </w:r>
          </w:p>
        </w:tc>
        <w:tc>
          <w:tcPr>
            <w:tcW w:w="656" w:type="dxa"/>
            <w:vMerge/>
          </w:tcPr>
          <w:p w:rsidR="002E1DA9" w:rsidRDefault="002E1DA9" w:rsidP="002E1DA9"/>
        </w:tc>
        <w:tc>
          <w:tcPr>
            <w:tcW w:w="509" w:type="dxa"/>
            <w:vMerge/>
          </w:tcPr>
          <w:p w:rsidR="002E1DA9" w:rsidRDefault="002E1DA9" w:rsidP="002E1DA9"/>
        </w:tc>
        <w:tc>
          <w:tcPr>
            <w:tcW w:w="522" w:type="dxa"/>
            <w:vMerge/>
          </w:tcPr>
          <w:p w:rsidR="002E1DA9" w:rsidRDefault="002E1DA9" w:rsidP="002E1DA9"/>
        </w:tc>
      </w:tr>
      <w:tr w:rsidR="002E1DA9" w:rsidTr="002E1DA9">
        <w:tc>
          <w:tcPr>
            <w:tcW w:w="2223" w:type="dxa"/>
          </w:tcPr>
          <w:p w:rsidR="002E1DA9" w:rsidRDefault="002E1DA9" w:rsidP="002E1DA9">
            <w:r>
              <w:t>ALL KM STUDENTS ‘17</w:t>
            </w:r>
          </w:p>
        </w:tc>
        <w:tc>
          <w:tcPr>
            <w:tcW w:w="627" w:type="dxa"/>
          </w:tcPr>
          <w:p w:rsidR="002E1DA9" w:rsidRDefault="002E1DA9" w:rsidP="002E1DA9">
            <w:pPr>
              <w:jc w:val="center"/>
            </w:pPr>
          </w:p>
        </w:tc>
        <w:tc>
          <w:tcPr>
            <w:tcW w:w="597" w:type="dxa"/>
          </w:tcPr>
          <w:p w:rsidR="002E1DA9" w:rsidRDefault="002E1DA9" w:rsidP="002E1DA9">
            <w:pPr>
              <w:jc w:val="center"/>
            </w:pPr>
          </w:p>
        </w:tc>
        <w:tc>
          <w:tcPr>
            <w:tcW w:w="685" w:type="dxa"/>
          </w:tcPr>
          <w:p w:rsidR="002E1DA9" w:rsidRDefault="002E1DA9" w:rsidP="002E1DA9">
            <w:pPr>
              <w:jc w:val="center"/>
            </w:pPr>
            <w:r>
              <w:t>19%</w:t>
            </w:r>
          </w:p>
        </w:tc>
        <w:tc>
          <w:tcPr>
            <w:tcW w:w="1073" w:type="dxa"/>
          </w:tcPr>
          <w:p w:rsidR="002E1DA9" w:rsidRDefault="002E1DA9" w:rsidP="002E1DA9">
            <w:pPr>
              <w:jc w:val="center"/>
            </w:pPr>
            <w:r>
              <w:t>4%</w:t>
            </w:r>
          </w:p>
        </w:tc>
        <w:tc>
          <w:tcPr>
            <w:tcW w:w="770" w:type="dxa"/>
          </w:tcPr>
          <w:p w:rsidR="002E1DA9" w:rsidRDefault="002E1DA9" w:rsidP="002E1DA9">
            <w:pPr>
              <w:jc w:val="center"/>
            </w:pPr>
            <w:r>
              <w:t>30%</w:t>
            </w:r>
          </w:p>
        </w:tc>
        <w:tc>
          <w:tcPr>
            <w:tcW w:w="771" w:type="dxa"/>
          </w:tcPr>
          <w:p w:rsidR="002E1DA9" w:rsidRDefault="002E1DA9" w:rsidP="002E1DA9">
            <w:pPr>
              <w:jc w:val="center"/>
            </w:pPr>
            <w:r>
              <w:t>6%</w:t>
            </w:r>
          </w:p>
        </w:tc>
        <w:tc>
          <w:tcPr>
            <w:tcW w:w="761" w:type="dxa"/>
          </w:tcPr>
          <w:p w:rsidR="002E1DA9" w:rsidRDefault="002E1DA9" w:rsidP="002E1DA9">
            <w:pPr>
              <w:jc w:val="center"/>
            </w:pPr>
            <w:r>
              <w:t>20%</w:t>
            </w:r>
          </w:p>
        </w:tc>
        <w:tc>
          <w:tcPr>
            <w:tcW w:w="701" w:type="dxa"/>
          </w:tcPr>
          <w:p w:rsidR="002E1DA9" w:rsidRDefault="002E1DA9" w:rsidP="002E1DA9">
            <w:pPr>
              <w:jc w:val="center"/>
            </w:pPr>
            <w:r>
              <w:t>21%</w:t>
            </w:r>
          </w:p>
        </w:tc>
        <w:tc>
          <w:tcPr>
            <w:tcW w:w="656" w:type="dxa"/>
          </w:tcPr>
          <w:p w:rsidR="002E1DA9" w:rsidRDefault="002E1DA9" w:rsidP="002E1DA9">
            <w:pPr>
              <w:jc w:val="center"/>
            </w:pPr>
          </w:p>
        </w:tc>
        <w:tc>
          <w:tcPr>
            <w:tcW w:w="509" w:type="dxa"/>
          </w:tcPr>
          <w:p w:rsidR="002E1DA9" w:rsidRDefault="002E1DA9" w:rsidP="002E1DA9">
            <w:pPr>
              <w:jc w:val="center"/>
            </w:pPr>
          </w:p>
        </w:tc>
        <w:tc>
          <w:tcPr>
            <w:tcW w:w="522" w:type="dxa"/>
          </w:tcPr>
          <w:p w:rsidR="002E1DA9" w:rsidRDefault="002E1DA9" w:rsidP="002E1DA9">
            <w:pPr>
              <w:jc w:val="center"/>
            </w:pPr>
          </w:p>
        </w:tc>
      </w:tr>
      <w:tr w:rsidR="002E1DA9" w:rsidTr="002E1DA9">
        <w:tc>
          <w:tcPr>
            <w:tcW w:w="2223" w:type="dxa"/>
          </w:tcPr>
          <w:p w:rsidR="002E1DA9" w:rsidRDefault="002E1DA9" w:rsidP="002E1DA9">
            <w:r>
              <w:t>ALL IB STUDENTS ‘17</w:t>
            </w:r>
          </w:p>
        </w:tc>
        <w:tc>
          <w:tcPr>
            <w:tcW w:w="627" w:type="dxa"/>
          </w:tcPr>
          <w:p w:rsidR="002E1DA9" w:rsidRDefault="002E1DA9" w:rsidP="002E1DA9">
            <w:pPr>
              <w:jc w:val="center"/>
            </w:pPr>
            <w:r>
              <w:t>46%</w:t>
            </w:r>
          </w:p>
        </w:tc>
        <w:tc>
          <w:tcPr>
            <w:tcW w:w="597" w:type="dxa"/>
          </w:tcPr>
          <w:p w:rsidR="002E1DA9" w:rsidRDefault="002E1DA9" w:rsidP="002E1DA9">
            <w:pPr>
              <w:jc w:val="center"/>
            </w:pPr>
            <w:r>
              <w:t>54%</w:t>
            </w:r>
          </w:p>
        </w:tc>
        <w:tc>
          <w:tcPr>
            <w:tcW w:w="685" w:type="dxa"/>
          </w:tcPr>
          <w:p w:rsidR="002E1DA9" w:rsidRDefault="002E1DA9" w:rsidP="002E1DA9">
            <w:pPr>
              <w:jc w:val="center"/>
            </w:pPr>
            <w:r>
              <w:t>17%</w:t>
            </w:r>
          </w:p>
        </w:tc>
        <w:tc>
          <w:tcPr>
            <w:tcW w:w="1073" w:type="dxa"/>
          </w:tcPr>
          <w:p w:rsidR="002E1DA9" w:rsidRDefault="002E1DA9" w:rsidP="002E1DA9">
            <w:pPr>
              <w:jc w:val="center"/>
            </w:pPr>
            <w:r>
              <w:t>4%</w:t>
            </w:r>
          </w:p>
        </w:tc>
        <w:tc>
          <w:tcPr>
            <w:tcW w:w="770" w:type="dxa"/>
          </w:tcPr>
          <w:p w:rsidR="002E1DA9" w:rsidRDefault="002E1DA9" w:rsidP="002E1DA9">
            <w:pPr>
              <w:jc w:val="center"/>
            </w:pPr>
            <w:r>
              <w:t>34%</w:t>
            </w:r>
          </w:p>
        </w:tc>
        <w:tc>
          <w:tcPr>
            <w:tcW w:w="771" w:type="dxa"/>
          </w:tcPr>
          <w:p w:rsidR="002E1DA9" w:rsidRDefault="002E1DA9" w:rsidP="002E1DA9">
            <w:pPr>
              <w:jc w:val="center"/>
            </w:pPr>
            <w:r>
              <w:t>8%</w:t>
            </w:r>
          </w:p>
        </w:tc>
        <w:tc>
          <w:tcPr>
            <w:tcW w:w="761" w:type="dxa"/>
          </w:tcPr>
          <w:p w:rsidR="002E1DA9" w:rsidRDefault="002E1DA9" w:rsidP="002E1DA9">
            <w:pPr>
              <w:jc w:val="center"/>
            </w:pPr>
            <w:r>
              <w:t>17%</w:t>
            </w:r>
          </w:p>
        </w:tc>
        <w:tc>
          <w:tcPr>
            <w:tcW w:w="701" w:type="dxa"/>
          </w:tcPr>
          <w:p w:rsidR="002E1DA9" w:rsidRDefault="002E1DA9" w:rsidP="002E1DA9">
            <w:pPr>
              <w:jc w:val="center"/>
            </w:pPr>
            <w:r>
              <w:t>20%</w:t>
            </w:r>
          </w:p>
        </w:tc>
        <w:tc>
          <w:tcPr>
            <w:tcW w:w="656" w:type="dxa"/>
          </w:tcPr>
          <w:p w:rsidR="002E1DA9" w:rsidRDefault="002E1DA9" w:rsidP="002E1DA9">
            <w:pPr>
              <w:jc w:val="center"/>
            </w:pPr>
            <w:r>
              <w:t>1%</w:t>
            </w:r>
          </w:p>
        </w:tc>
        <w:tc>
          <w:tcPr>
            <w:tcW w:w="509" w:type="dxa"/>
          </w:tcPr>
          <w:p w:rsidR="002E1DA9" w:rsidRDefault="002E1DA9" w:rsidP="002E1DA9">
            <w:pPr>
              <w:jc w:val="center"/>
            </w:pPr>
            <w:r>
              <w:t>4%</w:t>
            </w:r>
          </w:p>
        </w:tc>
        <w:tc>
          <w:tcPr>
            <w:tcW w:w="522" w:type="dxa"/>
          </w:tcPr>
          <w:p w:rsidR="002E1DA9" w:rsidRDefault="002E1DA9" w:rsidP="002E1DA9">
            <w:pPr>
              <w:jc w:val="center"/>
            </w:pPr>
          </w:p>
        </w:tc>
      </w:tr>
      <w:tr w:rsidR="002E1DA9" w:rsidTr="002E1DA9">
        <w:tc>
          <w:tcPr>
            <w:tcW w:w="2223" w:type="dxa"/>
          </w:tcPr>
          <w:p w:rsidR="002E1DA9" w:rsidRDefault="002E1DA9" w:rsidP="002E1DA9">
            <w:r>
              <w:t>ALL IB STUDENTS ‘18</w:t>
            </w:r>
          </w:p>
        </w:tc>
        <w:tc>
          <w:tcPr>
            <w:tcW w:w="627" w:type="dxa"/>
          </w:tcPr>
          <w:p w:rsidR="002E1DA9" w:rsidRDefault="002E1DA9" w:rsidP="002E1DA9">
            <w:pPr>
              <w:jc w:val="center"/>
            </w:pPr>
            <w:r>
              <w:t>43%</w:t>
            </w:r>
          </w:p>
        </w:tc>
        <w:tc>
          <w:tcPr>
            <w:tcW w:w="597" w:type="dxa"/>
          </w:tcPr>
          <w:p w:rsidR="002E1DA9" w:rsidRDefault="002E1DA9" w:rsidP="002E1DA9">
            <w:pPr>
              <w:jc w:val="center"/>
            </w:pPr>
            <w:r>
              <w:t>57%</w:t>
            </w:r>
          </w:p>
        </w:tc>
        <w:tc>
          <w:tcPr>
            <w:tcW w:w="685" w:type="dxa"/>
          </w:tcPr>
          <w:p w:rsidR="002E1DA9" w:rsidRDefault="002E1DA9" w:rsidP="002E1DA9">
            <w:pPr>
              <w:jc w:val="center"/>
            </w:pPr>
            <w:r>
              <w:t>18%</w:t>
            </w:r>
          </w:p>
        </w:tc>
        <w:tc>
          <w:tcPr>
            <w:tcW w:w="1073" w:type="dxa"/>
          </w:tcPr>
          <w:p w:rsidR="002E1DA9" w:rsidRDefault="002E1DA9" w:rsidP="002E1DA9">
            <w:pPr>
              <w:jc w:val="center"/>
            </w:pPr>
            <w:r>
              <w:t>5%</w:t>
            </w:r>
          </w:p>
        </w:tc>
        <w:tc>
          <w:tcPr>
            <w:tcW w:w="770" w:type="dxa"/>
          </w:tcPr>
          <w:p w:rsidR="002E1DA9" w:rsidRDefault="002E1DA9" w:rsidP="002E1DA9">
            <w:pPr>
              <w:jc w:val="center"/>
            </w:pPr>
            <w:r>
              <w:t>33%</w:t>
            </w:r>
          </w:p>
        </w:tc>
        <w:tc>
          <w:tcPr>
            <w:tcW w:w="771" w:type="dxa"/>
          </w:tcPr>
          <w:p w:rsidR="002E1DA9" w:rsidRDefault="002E1DA9" w:rsidP="002E1DA9">
            <w:pPr>
              <w:jc w:val="center"/>
            </w:pPr>
            <w:r>
              <w:t>7%</w:t>
            </w:r>
          </w:p>
        </w:tc>
        <w:tc>
          <w:tcPr>
            <w:tcW w:w="761" w:type="dxa"/>
          </w:tcPr>
          <w:p w:rsidR="002E1DA9" w:rsidRDefault="002E1DA9" w:rsidP="002E1DA9">
            <w:pPr>
              <w:jc w:val="center"/>
            </w:pPr>
            <w:r>
              <w:t>16%</w:t>
            </w:r>
          </w:p>
        </w:tc>
        <w:tc>
          <w:tcPr>
            <w:tcW w:w="701" w:type="dxa"/>
          </w:tcPr>
          <w:p w:rsidR="002E1DA9" w:rsidRDefault="002E1DA9" w:rsidP="002E1DA9">
            <w:pPr>
              <w:jc w:val="center"/>
            </w:pPr>
            <w:r>
              <w:t>22%</w:t>
            </w:r>
          </w:p>
        </w:tc>
        <w:tc>
          <w:tcPr>
            <w:tcW w:w="656" w:type="dxa"/>
          </w:tcPr>
          <w:p w:rsidR="002E1DA9" w:rsidRDefault="002E1DA9" w:rsidP="002E1DA9">
            <w:pPr>
              <w:jc w:val="center"/>
            </w:pPr>
            <w:r>
              <w:t>2%</w:t>
            </w:r>
          </w:p>
        </w:tc>
        <w:tc>
          <w:tcPr>
            <w:tcW w:w="509" w:type="dxa"/>
          </w:tcPr>
          <w:p w:rsidR="002E1DA9" w:rsidRDefault="002E1DA9" w:rsidP="002E1DA9">
            <w:pPr>
              <w:jc w:val="center"/>
            </w:pPr>
            <w:r>
              <w:t>2%</w:t>
            </w:r>
          </w:p>
        </w:tc>
        <w:tc>
          <w:tcPr>
            <w:tcW w:w="522" w:type="dxa"/>
          </w:tcPr>
          <w:p w:rsidR="002E1DA9" w:rsidRDefault="002E1DA9" w:rsidP="002E1DA9">
            <w:pPr>
              <w:jc w:val="center"/>
            </w:pPr>
          </w:p>
        </w:tc>
      </w:tr>
      <w:tr w:rsidR="002E1DA9" w:rsidTr="002E1DA9">
        <w:tc>
          <w:tcPr>
            <w:tcW w:w="2223" w:type="dxa"/>
          </w:tcPr>
          <w:p w:rsidR="002E1DA9" w:rsidRDefault="002E1DA9" w:rsidP="002E1DA9">
            <w:r>
              <w:t>DIPLOMA 2017</w:t>
            </w:r>
          </w:p>
        </w:tc>
        <w:tc>
          <w:tcPr>
            <w:tcW w:w="627" w:type="dxa"/>
          </w:tcPr>
          <w:p w:rsidR="002E1DA9" w:rsidRDefault="002E1DA9" w:rsidP="002E1DA9">
            <w:pPr>
              <w:jc w:val="center"/>
            </w:pPr>
            <w:r>
              <w:t>33%</w:t>
            </w:r>
          </w:p>
        </w:tc>
        <w:tc>
          <w:tcPr>
            <w:tcW w:w="597" w:type="dxa"/>
          </w:tcPr>
          <w:p w:rsidR="002E1DA9" w:rsidRDefault="002E1DA9" w:rsidP="002E1DA9">
            <w:pPr>
              <w:jc w:val="center"/>
            </w:pPr>
            <w:r>
              <w:t>67%</w:t>
            </w:r>
          </w:p>
        </w:tc>
        <w:tc>
          <w:tcPr>
            <w:tcW w:w="685" w:type="dxa"/>
          </w:tcPr>
          <w:p w:rsidR="002E1DA9" w:rsidRDefault="002E1DA9" w:rsidP="002E1DA9">
            <w:pPr>
              <w:jc w:val="center"/>
            </w:pPr>
            <w:r>
              <w:t>8%</w:t>
            </w:r>
          </w:p>
        </w:tc>
        <w:tc>
          <w:tcPr>
            <w:tcW w:w="1073" w:type="dxa"/>
          </w:tcPr>
          <w:p w:rsidR="002E1DA9" w:rsidRDefault="002E1DA9" w:rsidP="002E1DA9">
            <w:pPr>
              <w:jc w:val="center"/>
            </w:pPr>
            <w:r>
              <w:t>4%</w:t>
            </w:r>
          </w:p>
        </w:tc>
        <w:tc>
          <w:tcPr>
            <w:tcW w:w="770" w:type="dxa"/>
          </w:tcPr>
          <w:p w:rsidR="002E1DA9" w:rsidRDefault="002E1DA9" w:rsidP="002E1DA9">
            <w:pPr>
              <w:jc w:val="center"/>
            </w:pPr>
            <w:r>
              <w:t>21%</w:t>
            </w:r>
          </w:p>
        </w:tc>
        <w:tc>
          <w:tcPr>
            <w:tcW w:w="771" w:type="dxa"/>
          </w:tcPr>
          <w:p w:rsidR="002E1DA9" w:rsidRDefault="002E1DA9" w:rsidP="002E1DA9">
            <w:pPr>
              <w:jc w:val="center"/>
            </w:pPr>
            <w:r>
              <w:t>17%</w:t>
            </w:r>
          </w:p>
        </w:tc>
        <w:tc>
          <w:tcPr>
            <w:tcW w:w="761" w:type="dxa"/>
          </w:tcPr>
          <w:p w:rsidR="002E1DA9" w:rsidRDefault="002E1DA9" w:rsidP="002E1DA9">
            <w:pPr>
              <w:jc w:val="center"/>
            </w:pPr>
            <w:r>
              <w:t>25%</w:t>
            </w:r>
          </w:p>
        </w:tc>
        <w:tc>
          <w:tcPr>
            <w:tcW w:w="701" w:type="dxa"/>
          </w:tcPr>
          <w:p w:rsidR="002E1DA9" w:rsidRDefault="002E1DA9" w:rsidP="002E1DA9">
            <w:pPr>
              <w:jc w:val="center"/>
            </w:pPr>
            <w:r>
              <w:t>25%</w:t>
            </w:r>
          </w:p>
        </w:tc>
        <w:tc>
          <w:tcPr>
            <w:tcW w:w="656" w:type="dxa"/>
          </w:tcPr>
          <w:p w:rsidR="002E1DA9" w:rsidRDefault="002E1DA9" w:rsidP="002E1DA9">
            <w:pPr>
              <w:jc w:val="center"/>
            </w:pPr>
            <w:r>
              <w:t>0%</w:t>
            </w:r>
          </w:p>
        </w:tc>
        <w:tc>
          <w:tcPr>
            <w:tcW w:w="509" w:type="dxa"/>
          </w:tcPr>
          <w:p w:rsidR="002E1DA9" w:rsidRDefault="002E1DA9" w:rsidP="002E1DA9">
            <w:pPr>
              <w:jc w:val="center"/>
            </w:pPr>
            <w:r>
              <w:t>0%</w:t>
            </w:r>
          </w:p>
        </w:tc>
        <w:tc>
          <w:tcPr>
            <w:tcW w:w="522" w:type="dxa"/>
          </w:tcPr>
          <w:p w:rsidR="002E1DA9" w:rsidRDefault="002E1DA9" w:rsidP="002E1DA9">
            <w:pPr>
              <w:jc w:val="center"/>
            </w:pPr>
          </w:p>
        </w:tc>
      </w:tr>
      <w:tr w:rsidR="002E1DA9" w:rsidTr="002E1DA9">
        <w:tc>
          <w:tcPr>
            <w:tcW w:w="2223" w:type="dxa"/>
          </w:tcPr>
          <w:p w:rsidR="002E1DA9" w:rsidRDefault="002E1DA9" w:rsidP="002E1DA9">
            <w:r>
              <w:t>DIPLOMA 2018</w:t>
            </w:r>
          </w:p>
        </w:tc>
        <w:tc>
          <w:tcPr>
            <w:tcW w:w="627" w:type="dxa"/>
          </w:tcPr>
          <w:p w:rsidR="002E1DA9" w:rsidRDefault="002E1DA9" w:rsidP="002E1DA9">
            <w:pPr>
              <w:jc w:val="center"/>
            </w:pPr>
            <w:r>
              <w:t>40%</w:t>
            </w:r>
          </w:p>
        </w:tc>
        <w:tc>
          <w:tcPr>
            <w:tcW w:w="597" w:type="dxa"/>
          </w:tcPr>
          <w:p w:rsidR="002E1DA9" w:rsidRDefault="002E1DA9" w:rsidP="002E1DA9">
            <w:pPr>
              <w:jc w:val="center"/>
            </w:pPr>
            <w:r>
              <w:t>60%</w:t>
            </w:r>
          </w:p>
        </w:tc>
        <w:tc>
          <w:tcPr>
            <w:tcW w:w="685" w:type="dxa"/>
          </w:tcPr>
          <w:p w:rsidR="002E1DA9" w:rsidRDefault="002E1DA9" w:rsidP="002E1DA9">
            <w:pPr>
              <w:jc w:val="center"/>
            </w:pPr>
            <w:r>
              <w:t>12%</w:t>
            </w:r>
          </w:p>
        </w:tc>
        <w:tc>
          <w:tcPr>
            <w:tcW w:w="1073" w:type="dxa"/>
          </w:tcPr>
          <w:p w:rsidR="002E1DA9" w:rsidRDefault="002E1DA9" w:rsidP="002E1DA9">
            <w:pPr>
              <w:jc w:val="center"/>
            </w:pPr>
            <w:r>
              <w:t>0%</w:t>
            </w:r>
          </w:p>
        </w:tc>
        <w:tc>
          <w:tcPr>
            <w:tcW w:w="770" w:type="dxa"/>
          </w:tcPr>
          <w:p w:rsidR="002E1DA9" w:rsidRDefault="002E1DA9" w:rsidP="002E1DA9">
            <w:pPr>
              <w:jc w:val="center"/>
            </w:pPr>
            <w:r>
              <w:t>36%</w:t>
            </w:r>
          </w:p>
        </w:tc>
        <w:tc>
          <w:tcPr>
            <w:tcW w:w="771" w:type="dxa"/>
          </w:tcPr>
          <w:p w:rsidR="002E1DA9" w:rsidRDefault="002E1DA9" w:rsidP="002E1DA9">
            <w:pPr>
              <w:jc w:val="center"/>
            </w:pPr>
            <w:r>
              <w:t>9%</w:t>
            </w:r>
          </w:p>
        </w:tc>
        <w:tc>
          <w:tcPr>
            <w:tcW w:w="761" w:type="dxa"/>
          </w:tcPr>
          <w:p w:rsidR="002E1DA9" w:rsidRDefault="002E1DA9" w:rsidP="002E1DA9">
            <w:pPr>
              <w:jc w:val="center"/>
            </w:pPr>
            <w:r>
              <w:t>12%</w:t>
            </w:r>
          </w:p>
        </w:tc>
        <w:tc>
          <w:tcPr>
            <w:tcW w:w="701" w:type="dxa"/>
          </w:tcPr>
          <w:p w:rsidR="002E1DA9" w:rsidRDefault="002E1DA9" w:rsidP="002E1DA9">
            <w:pPr>
              <w:jc w:val="center"/>
            </w:pPr>
            <w:r>
              <w:t>30%</w:t>
            </w:r>
          </w:p>
        </w:tc>
        <w:tc>
          <w:tcPr>
            <w:tcW w:w="656" w:type="dxa"/>
          </w:tcPr>
          <w:p w:rsidR="002E1DA9" w:rsidRDefault="002E1DA9" w:rsidP="002E1DA9">
            <w:pPr>
              <w:jc w:val="center"/>
            </w:pPr>
            <w:r>
              <w:t>0%</w:t>
            </w:r>
          </w:p>
        </w:tc>
        <w:tc>
          <w:tcPr>
            <w:tcW w:w="509" w:type="dxa"/>
          </w:tcPr>
          <w:p w:rsidR="002E1DA9" w:rsidRDefault="002E1DA9" w:rsidP="002E1DA9">
            <w:pPr>
              <w:jc w:val="center"/>
            </w:pPr>
            <w:r>
              <w:t>0%</w:t>
            </w:r>
          </w:p>
        </w:tc>
        <w:tc>
          <w:tcPr>
            <w:tcW w:w="522" w:type="dxa"/>
          </w:tcPr>
          <w:p w:rsidR="002E1DA9" w:rsidRDefault="002E1DA9" w:rsidP="002E1DA9">
            <w:pPr>
              <w:jc w:val="center"/>
            </w:pPr>
          </w:p>
        </w:tc>
      </w:tr>
      <w:tr w:rsidR="002E1DA9" w:rsidTr="002E1DA9">
        <w:tc>
          <w:tcPr>
            <w:tcW w:w="2223" w:type="dxa"/>
          </w:tcPr>
          <w:p w:rsidR="002E1DA9" w:rsidRDefault="002E1DA9" w:rsidP="002E1DA9">
            <w:r>
              <w:t>DIPLOMA 2019</w:t>
            </w:r>
          </w:p>
        </w:tc>
        <w:tc>
          <w:tcPr>
            <w:tcW w:w="627" w:type="dxa"/>
          </w:tcPr>
          <w:p w:rsidR="002E1DA9" w:rsidRDefault="002E1DA9" w:rsidP="002E1DA9">
            <w:pPr>
              <w:jc w:val="center"/>
            </w:pPr>
            <w:r>
              <w:t>31%</w:t>
            </w:r>
          </w:p>
        </w:tc>
        <w:tc>
          <w:tcPr>
            <w:tcW w:w="597" w:type="dxa"/>
          </w:tcPr>
          <w:p w:rsidR="002E1DA9" w:rsidRDefault="002E1DA9" w:rsidP="002E1DA9">
            <w:pPr>
              <w:jc w:val="center"/>
            </w:pPr>
            <w:r>
              <w:t>69%</w:t>
            </w:r>
          </w:p>
        </w:tc>
        <w:tc>
          <w:tcPr>
            <w:tcW w:w="685" w:type="dxa"/>
          </w:tcPr>
          <w:p w:rsidR="002E1DA9" w:rsidRDefault="002E1DA9" w:rsidP="002E1DA9">
            <w:pPr>
              <w:jc w:val="center"/>
            </w:pPr>
            <w:r>
              <w:t>20%</w:t>
            </w:r>
          </w:p>
        </w:tc>
        <w:tc>
          <w:tcPr>
            <w:tcW w:w="1073" w:type="dxa"/>
          </w:tcPr>
          <w:p w:rsidR="002E1DA9" w:rsidRDefault="002E1DA9" w:rsidP="002E1DA9">
            <w:pPr>
              <w:jc w:val="center"/>
            </w:pPr>
            <w:r>
              <w:t>6%</w:t>
            </w:r>
          </w:p>
        </w:tc>
        <w:tc>
          <w:tcPr>
            <w:tcW w:w="770" w:type="dxa"/>
          </w:tcPr>
          <w:p w:rsidR="002E1DA9" w:rsidRDefault="002E1DA9" w:rsidP="002E1DA9">
            <w:pPr>
              <w:jc w:val="center"/>
            </w:pPr>
            <w:r>
              <w:t>14%</w:t>
            </w:r>
          </w:p>
        </w:tc>
        <w:tc>
          <w:tcPr>
            <w:tcW w:w="771" w:type="dxa"/>
          </w:tcPr>
          <w:p w:rsidR="002E1DA9" w:rsidRDefault="002E1DA9" w:rsidP="002E1DA9">
            <w:pPr>
              <w:jc w:val="center"/>
            </w:pPr>
            <w:r>
              <w:t>17%</w:t>
            </w:r>
          </w:p>
        </w:tc>
        <w:tc>
          <w:tcPr>
            <w:tcW w:w="761" w:type="dxa"/>
          </w:tcPr>
          <w:p w:rsidR="002E1DA9" w:rsidRDefault="002E1DA9" w:rsidP="002E1DA9">
            <w:pPr>
              <w:jc w:val="center"/>
            </w:pPr>
            <w:r>
              <w:t>9%</w:t>
            </w:r>
          </w:p>
        </w:tc>
        <w:tc>
          <w:tcPr>
            <w:tcW w:w="701" w:type="dxa"/>
          </w:tcPr>
          <w:p w:rsidR="002E1DA9" w:rsidRDefault="002E1DA9" w:rsidP="002E1DA9">
            <w:pPr>
              <w:jc w:val="center"/>
            </w:pPr>
            <w:r>
              <w:t>34%</w:t>
            </w:r>
          </w:p>
        </w:tc>
        <w:tc>
          <w:tcPr>
            <w:tcW w:w="656" w:type="dxa"/>
          </w:tcPr>
          <w:p w:rsidR="002E1DA9" w:rsidRDefault="002E1DA9" w:rsidP="002E1DA9">
            <w:pPr>
              <w:jc w:val="center"/>
            </w:pPr>
            <w:r>
              <w:t>3%</w:t>
            </w:r>
          </w:p>
        </w:tc>
        <w:tc>
          <w:tcPr>
            <w:tcW w:w="509" w:type="dxa"/>
          </w:tcPr>
          <w:p w:rsidR="002E1DA9" w:rsidRDefault="002E1DA9" w:rsidP="002E1DA9">
            <w:pPr>
              <w:jc w:val="center"/>
            </w:pPr>
            <w:r>
              <w:t>0%</w:t>
            </w:r>
          </w:p>
        </w:tc>
        <w:tc>
          <w:tcPr>
            <w:tcW w:w="522" w:type="dxa"/>
          </w:tcPr>
          <w:p w:rsidR="002E1DA9" w:rsidRDefault="002E1DA9" w:rsidP="002E1DA9">
            <w:pPr>
              <w:jc w:val="center"/>
            </w:pPr>
          </w:p>
        </w:tc>
      </w:tr>
    </w:tbl>
    <w:p w:rsidR="00971BE0" w:rsidRDefault="00971BE0" w:rsidP="00971BE0">
      <w:pPr>
        <w:spacing w:after="0" w:line="240" w:lineRule="auto"/>
      </w:pPr>
      <w:r>
        <w:t>In Percentages:</w:t>
      </w:r>
    </w:p>
    <w:p w:rsidR="005A7237" w:rsidRDefault="005A7237">
      <w:pPr>
        <w:spacing w:after="0" w:line="259" w:lineRule="auto"/>
        <w:ind w:left="0" w:firstLine="0"/>
      </w:pPr>
    </w:p>
    <w:p w:rsidR="005A7237" w:rsidRDefault="001C2754">
      <w:pPr>
        <w:ind w:left="-5" w:right="6"/>
      </w:pPr>
      <w:r>
        <w:t xml:space="preserve">Enrollment in the </w:t>
      </w:r>
      <w:r>
        <w:rPr>
          <w:b/>
        </w:rPr>
        <w:t>Kent-Meridian Technology Academy (KMTA)</w:t>
      </w:r>
      <w:r>
        <w:t xml:space="preserve"> provides students options for following both college and career pathways. Students take most core and honors classes within the Academy and supplement their learning with electives and other graduation or college preparation requirements from options in the greater Kent-Meridian High School program.  </w:t>
      </w:r>
    </w:p>
    <w:p w:rsidR="005A7237" w:rsidRDefault="001C2754">
      <w:pPr>
        <w:spacing w:after="0" w:line="259" w:lineRule="auto"/>
        <w:ind w:left="0" w:firstLine="0"/>
      </w:pPr>
      <w:r>
        <w:t xml:space="preserve"> </w:t>
      </w:r>
    </w:p>
    <w:p w:rsidR="005A7237" w:rsidRDefault="001C2754">
      <w:pPr>
        <w:ind w:left="-5" w:right="6"/>
      </w:pPr>
      <w:r>
        <w:t xml:space="preserve">Project-based learning, involving real world projects that develop student knowledge and skills, forms the primary instructional approach used by teachers in the Technology Academy. </w:t>
      </w:r>
      <w:r w:rsidR="00326CBE">
        <w:t xml:space="preserve"> </w:t>
      </w:r>
      <w:r>
        <w:t>The key elements of 21</w:t>
      </w:r>
      <w:r w:rsidRPr="00326CBE">
        <w:rPr>
          <w:vertAlign w:val="superscript"/>
        </w:rPr>
        <w:t>st</w:t>
      </w:r>
      <w:r w:rsidR="00326CBE">
        <w:t>-</w:t>
      </w:r>
      <w:r>
        <w:t>Century</w:t>
      </w:r>
      <w:r w:rsidR="00326CBE">
        <w:t xml:space="preserve"> </w:t>
      </w:r>
      <w:r>
        <w:t>learning include a focus on core subject knowledge, using 21</w:t>
      </w:r>
      <w:r>
        <w:rPr>
          <w:vertAlign w:val="superscript"/>
        </w:rPr>
        <w:t>st</w:t>
      </w:r>
      <w:r>
        <w:t xml:space="preserve"> Century tools, connecting with the broader world, digital literacy, inventive thinking, effective digital</w:t>
      </w:r>
      <w:r w:rsidR="00735742">
        <w:t>-</w:t>
      </w:r>
      <w:r>
        <w:t>age communication skills, and high productivity. Students have access to advanced career-oriented software when completing project-based learning activities. By being challenged with the 21</w:t>
      </w:r>
      <w:r w:rsidRPr="00326CBE">
        <w:rPr>
          <w:vertAlign w:val="superscript"/>
        </w:rPr>
        <w:t>st</w:t>
      </w:r>
      <w:r w:rsidR="00326CBE">
        <w:t>-</w:t>
      </w:r>
      <w:r>
        <w:t xml:space="preserve">Century skills set and a more self-directed instructional approach, students acquire the skills they need to be both academically prepared and workforce ready when they graduate. </w:t>
      </w:r>
    </w:p>
    <w:p w:rsidR="005A7237" w:rsidRDefault="001C2754">
      <w:pPr>
        <w:spacing w:after="0" w:line="259" w:lineRule="auto"/>
        <w:ind w:left="0" w:firstLine="0"/>
      </w:pPr>
      <w:r>
        <w:t xml:space="preserve"> </w:t>
      </w:r>
    </w:p>
    <w:p w:rsidR="005A7237" w:rsidRDefault="001C2754">
      <w:pPr>
        <w:ind w:left="-5" w:right="6"/>
      </w:pPr>
      <w:r>
        <w:t xml:space="preserve">The Technology Academy embraces </w:t>
      </w:r>
      <w:r>
        <w:rPr>
          <w:i/>
        </w:rPr>
        <w:t>Anytime Anywhere Learning</w:t>
      </w:r>
      <w:r>
        <w:t xml:space="preserve">. This concept envisions students having complete access to laptop computers and the world of information available twenty-four hours a day. Students learn to use this access as easily as pencil and paper. The Academy environment creates a connected learning community where learning is not limited by the hours in the school day or the walls of the classroom. </w:t>
      </w:r>
    </w:p>
    <w:p w:rsidR="005A7237" w:rsidRDefault="001C2754">
      <w:pPr>
        <w:spacing w:after="0" w:line="259" w:lineRule="auto"/>
        <w:ind w:left="0" w:firstLine="0"/>
      </w:pPr>
      <w:r>
        <w:t xml:space="preserve"> </w:t>
      </w:r>
    </w:p>
    <w:p w:rsidR="005A7237" w:rsidRDefault="001C2754">
      <w:pPr>
        <w:spacing w:after="272"/>
        <w:ind w:left="-5" w:right="6"/>
      </w:pPr>
      <w:r>
        <w:t xml:space="preserve">Juniors and seniors may take </w:t>
      </w:r>
      <w:r>
        <w:rPr>
          <w:b/>
        </w:rPr>
        <w:t xml:space="preserve">International Baccalaureate </w:t>
      </w:r>
      <w:r>
        <w:t>courses to pursue college options within the KMTA setting</w:t>
      </w:r>
      <w:r w:rsidR="00735742">
        <w:t xml:space="preserve"> and take AP Human Geography as sophomores</w:t>
      </w:r>
      <w:r>
        <w:t xml:space="preserve">. Additionally, junior and senior core classes in KMTA are scheduled later in the day to facilitate student participation in </w:t>
      </w:r>
      <w:r>
        <w:rPr>
          <w:b/>
        </w:rPr>
        <w:t xml:space="preserve">Running Start </w:t>
      </w:r>
      <w:r>
        <w:t xml:space="preserve">if desired.  </w:t>
      </w:r>
    </w:p>
    <w:p w:rsidR="005A7237" w:rsidRDefault="001C2754">
      <w:pPr>
        <w:ind w:left="-5" w:right="6"/>
      </w:pPr>
      <w:r>
        <w:rPr>
          <w:b/>
        </w:rPr>
        <w:t>Running Start</w:t>
      </w:r>
      <w:r>
        <w:t xml:space="preserve"> is a program that allows qualified juniors (11.0 credits) and seniors the opportunity to enroll in college-level classes that apply to their high school graduation </w:t>
      </w:r>
      <w:r w:rsidR="00735742">
        <w:t>and</w:t>
      </w:r>
      <w:r>
        <w:t xml:space="preserve"> university transfer or professional technical degree. </w:t>
      </w:r>
      <w:proofErr w:type="gramStart"/>
      <w:r>
        <w:t>In order to</w:t>
      </w:r>
      <w:proofErr w:type="gramEnd"/>
      <w:r>
        <w:t xml:space="preserve"> participate in Running Start, interested juniors and seniors must pass the COMPASS test at college level in Writing and Reading. Students who wish to enroll in college level mathematics courses must score at college level on the math portion of the COMPASS test. The grades and credits earned in college are part of the students’ permanent high school and college transcript. Students must obtain a minimum of a 2.0 GPA to qualify and maintain this level of competency to remain eligible for the program.  </w:t>
      </w:r>
    </w:p>
    <w:p w:rsidR="005A7237" w:rsidRDefault="001C2754">
      <w:pPr>
        <w:ind w:left="-5" w:right="6"/>
      </w:pPr>
      <w:r>
        <w:rPr>
          <w:b/>
        </w:rPr>
        <w:t>College Preparatory</w:t>
      </w:r>
      <w:r>
        <w:t xml:space="preserve"> classes are also available. Courses available to students in this program will be accepted as college preparatory by virtually all colleges and universities in the state of Washington and throughout the United States.  In addition to IB classes, we also have </w:t>
      </w:r>
      <w:r>
        <w:rPr>
          <w:b/>
        </w:rPr>
        <w:t>Advanced Placement</w:t>
      </w:r>
      <w:r>
        <w:t xml:space="preserve"> classes</w:t>
      </w:r>
      <w:r w:rsidR="00326CBE">
        <w:t xml:space="preserve"> –</w:t>
      </w:r>
      <w:r>
        <w:t xml:space="preserve"> </w:t>
      </w:r>
      <w:r w:rsidR="00326CBE">
        <w:t xml:space="preserve">including </w:t>
      </w:r>
      <w:r>
        <w:t>AP Statistics</w:t>
      </w:r>
      <w:r w:rsidR="00326CBE">
        <w:t>,</w:t>
      </w:r>
      <w:r>
        <w:t xml:space="preserve"> AP Human Geography</w:t>
      </w:r>
      <w:r w:rsidR="00326CBE">
        <w:t>, and AP World History</w:t>
      </w:r>
      <w:r>
        <w:t xml:space="preserve">. Students can also receive </w:t>
      </w:r>
      <w:r>
        <w:rPr>
          <w:b/>
        </w:rPr>
        <w:t>CWU credits t</w:t>
      </w:r>
      <w:r w:rsidRPr="00E24751">
        <w:t>hrough the</w:t>
      </w:r>
      <w:r>
        <w:rPr>
          <w:b/>
        </w:rPr>
        <w:t xml:space="preserve"> Cornerstone program</w:t>
      </w:r>
      <w:r w:rsidR="00E24751">
        <w:rPr>
          <w:b/>
        </w:rPr>
        <w:t>,</w:t>
      </w:r>
      <w:r>
        <w:t xml:space="preserve"> </w:t>
      </w:r>
      <w:r w:rsidR="008818AF">
        <w:t xml:space="preserve">as well as </w:t>
      </w:r>
      <w:r w:rsidR="008818AF" w:rsidRPr="00E24751">
        <w:rPr>
          <w:b/>
        </w:rPr>
        <w:t>EWU</w:t>
      </w:r>
      <w:r w:rsidR="008818AF">
        <w:t xml:space="preserve"> credits through the </w:t>
      </w:r>
      <w:r w:rsidR="008818AF" w:rsidRPr="008818AF">
        <w:rPr>
          <w:b/>
        </w:rPr>
        <w:t>EWU in the High School program</w:t>
      </w:r>
      <w:r w:rsidR="008818AF">
        <w:t xml:space="preserve"> </w:t>
      </w:r>
      <w:r>
        <w:t>offered at Kent-</w:t>
      </w:r>
      <w:r w:rsidR="00E24751">
        <w:t>M</w:t>
      </w:r>
      <w:r>
        <w:t>eridian High School.  Students can earn up to</w:t>
      </w:r>
      <w:r w:rsidR="00E24751">
        <w:t xml:space="preserve"> 5 quarter credits per semester in the following subjects: Physics, Pre-Calculus, </w:t>
      </w:r>
      <w:r w:rsidR="00E24751">
        <w:lastRenderedPageBreak/>
        <w:t>Calculus, Senior English, U.S. History, and advanced French.</w:t>
      </w:r>
      <w:r>
        <w:t xml:space="preserve"> These credits transfer to all public universities and community colleges in Washington.  </w:t>
      </w:r>
    </w:p>
    <w:p w:rsidR="005A7237" w:rsidRDefault="001C2754">
      <w:pPr>
        <w:spacing w:after="0" w:line="259" w:lineRule="auto"/>
        <w:ind w:left="0" w:firstLine="0"/>
      </w:pPr>
      <w:r>
        <w:t xml:space="preserve"> </w:t>
      </w:r>
    </w:p>
    <w:p w:rsidR="005A7237" w:rsidRDefault="001C2754">
      <w:pPr>
        <w:spacing w:after="190"/>
        <w:ind w:left="-5" w:right="6"/>
      </w:pPr>
      <w:r>
        <w:t xml:space="preserve">A variety of </w:t>
      </w:r>
      <w:r>
        <w:rPr>
          <w:b/>
        </w:rPr>
        <w:t>Career and Technical Education (CTE)</w:t>
      </w:r>
      <w:r>
        <w:t xml:space="preserve"> courses are available to students</w:t>
      </w:r>
      <w:r w:rsidR="00E24751">
        <w:t>:</w:t>
      </w:r>
      <w:r>
        <w:t xml:space="preserve">  studio photo, digital design, computer technology, automotive, aviation, business/marketing, culinary arts, engineering, family and consumer sciences, health, metal</w:t>
      </w:r>
      <w:r w:rsidR="00E24751">
        <w:t>s and welding</w:t>
      </w:r>
      <w:r>
        <w:t xml:space="preserve">, theater/media, woods, and world languages. </w:t>
      </w:r>
    </w:p>
    <w:p w:rsidR="005A7237" w:rsidRDefault="001C2754">
      <w:pPr>
        <w:spacing w:after="134"/>
        <w:ind w:left="-5" w:right="6"/>
      </w:pPr>
      <w:r>
        <w:t xml:space="preserve">Kent Meridian utilizes a </w:t>
      </w:r>
      <w:r>
        <w:rPr>
          <w:b/>
        </w:rPr>
        <w:t>standards</w:t>
      </w:r>
      <w:r w:rsidR="00735742">
        <w:rPr>
          <w:b/>
        </w:rPr>
        <w:t>-</w:t>
      </w:r>
      <w:r>
        <w:rPr>
          <w:b/>
        </w:rPr>
        <w:t>based grading system</w:t>
      </w:r>
      <w:r>
        <w:rPr>
          <w:color w:val="4B4644"/>
        </w:rPr>
        <w:t xml:space="preserve">.  </w:t>
      </w:r>
      <w:r>
        <w:t xml:space="preserve">Standards-based instruction and assessment is a proven approach to teaching and learning that clearly spells out what students should know and be able to do from one level to the next in all subjects. </w:t>
      </w:r>
    </w:p>
    <w:p w:rsidR="005A7237" w:rsidRDefault="001C2754">
      <w:pPr>
        <w:spacing w:after="160" w:line="259" w:lineRule="auto"/>
        <w:ind w:left="0" w:firstLine="0"/>
      </w:pPr>
      <w: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1"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pPr>
      <w:r>
        <w:rPr>
          <w:rFonts w:ascii="Arial" w:eastAsia="Arial" w:hAnsi="Arial" w:cs="Arial"/>
          <w:b/>
        </w:rPr>
        <w:t xml:space="preserve"> </w:t>
      </w:r>
    </w:p>
    <w:p w:rsidR="005A7237" w:rsidRDefault="001C2754">
      <w:pPr>
        <w:spacing w:after="283" w:line="259" w:lineRule="auto"/>
        <w:ind w:left="23" w:firstLine="0"/>
        <w:jc w:val="center"/>
        <w:rPr>
          <w:rFonts w:ascii="Arial" w:eastAsia="Arial" w:hAnsi="Arial" w:cs="Arial"/>
          <w:b/>
        </w:rPr>
      </w:pPr>
      <w:r>
        <w:rPr>
          <w:rFonts w:ascii="Arial" w:eastAsia="Arial" w:hAnsi="Arial" w:cs="Arial"/>
          <w:b/>
        </w:rPr>
        <w:t xml:space="preserve"> </w:t>
      </w:r>
    </w:p>
    <w:p w:rsidR="0026488B" w:rsidRDefault="0026488B">
      <w:pPr>
        <w:spacing w:after="283" w:line="259" w:lineRule="auto"/>
        <w:ind w:left="23" w:firstLine="0"/>
        <w:jc w:val="center"/>
        <w:rPr>
          <w:rFonts w:ascii="Arial" w:eastAsia="Arial" w:hAnsi="Arial" w:cs="Arial"/>
          <w:b/>
        </w:rPr>
      </w:pPr>
    </w:p>
    <w:p w:rsidR="0026488B" w:rsidRDefault="0026488B">
      <w:pPr>
        <w:spacing w:after="283" w:line="259" w:lineRule="auto"/>
        <w:ind w:left="23" w:firstLine="0"/>
        <w:jc w:val="center"/>
      </w:pPr>
    </w:p>
    <w:p w:rsidR="005A7237" w:rsidRDefault="001C2754">
      <w:pPr>
        <w:spacing w:after="0" w:line="259" w:lineRule="auto"/>
        <w:ind w:left="23" w:firstLine="0"/>
        <w:jc w:val="center"/>
      </w:pPr>
      <w:r>
        <w:rPr>
          <w:rFonts w:ascii="Arial" w:eastAsia="Arial" w:hAnsi="Arial" w:cs="Arial"/>
          <w:b/>
        </w:rPr>
        <w:t xml:space="preserve"> </w:t>
      </w:r>
    </w:p>
    <w:p w:rsidR="005A7237" w:rsidRDefault="001C2754">
      <w:pPr>
        <w:spacing w:after="0" w:line="259" w:lineRule="auto"/>
        <w:ind w:left="0" w:right="1469" w:firstLine="0"/>
        <w:jc w:val="right"/>
      </w:pPr>
      <w:r>
        <w:rPr>
          <w:rFonts w:ascii="Arial" w:eastAsia="Arial" w:hAnsi="Arial" w:cs="Arial"/>
          <w:b/>
        </w:rPr>
        <w:lastRenderedPageBreak/>
        <w:t xml:space="preserve">Kent-Meridian High School Expectations for Academic Rigor </w:t>
      </w:r>
    </w:p>
    <w:p w:rsidR="005A7237" w:rsidRDefault="001C2754">
      <w:pPr>
        <w:spacing w:after="102" w:line="259" w:lineRule="auto"/>
        <w:ind w:left="0" w:firstLine="0"/>
      </w:pPr>
      <w:r>
        <w:rPr>
          <w:noProof/>
        </w:rPr>
        <w:drawing>
          <wp:inline distT="0" distB="0" distL="0" distR="0" wp14:anchorId="4F2A0717" wp14:editId="1A5EE6A2">
            <wp:extent cx="6400800" cy="6740652"/>
            <wp:effectExtent l="0" t="0" r="0" b="0"/>
            <wp:docPr id="1196" name="Picture 1196"/>
            <wp:cNvGraphicFramePr/>
            <a:graphic xmlns:a="http://schemas.openxmlformats.org/drawingml/2006/main">
              <a:graphicData uri="http://schemas.openxmlformats.org/drawingml/2006/picture">
                <pic:pic xmlns:pic="http://schemas.openxmlformats.org/drawingml/2006/picture">
                  <pic:nvPicPr>
                    <pic:cNvPr id="1196" name="Picture 1196"/>
                    <pic:cNvPicPr/>
                  </pic:nvPicPr>
                  <pic:blipFill>
                    <a:blip r:embed="rId8"/>
                    <a:stretch>
                      <a:fillRect/>
                    </a:stretch>
                  </pic:blipFill>
                  <pic:spPr>
                    <a:xfrm>
                      <a:off x="0" y="0"/>
                      <a:ext cx="6400800" cy="6740652"/>
                    </a:xfrm>
                    <a:prstGeom prst="rect">
                      <a:avLst/>
                    </a:prstGeom>
                  </pic:spPr>
                </pic:pic>
              </a:graphicData>
            </a:graphic>
          </wp:inline>
        </w:drawing>
      </w:r>
    </w:p>
    <w:p w:rsidR="005A7237" w:rsidRDefault="001C2754">
      <w:pPr>
        <w:spacing w:after="222" w:line="259" w:lineRule="auto"/>
        <w:ind w:left="0" w:firstLine="0"/>
      </w:pPr>
      <w:r>
        <w:t xml:space="preserve"> </w:t>
      </w:r>
      <w:r>
        <w:rPr>
          <w:sz w:val="19"/>
        </w:rPr>
        <w:t xml:space="preserve"> </w:t>
      </w:r>
    </w:p>
    <w:p w:rsidR="005A7237" w:rsidRDefault="001C2754">
      <w:pPr>
        <w:spacing w:after="218" w:line="259" w:lineRule="auto"/>
        <w:ind w:left="0" w:firstLine="0"/>
      </w:pPr>
      <w:r>
        <w:rPr>
          <w:b/>
        </w:rPr>
        <w:t xml:space="preserve"> </w:t>
      </w:r>
    </w:p>
    <w:p w:rsidR="005A7237" w:rsidRDefault="001C2754">
      <w:pPr>
        <w:spacing w:after="177" w:line="259" w:lineRule="auto"/>
        <w:ind w:left="0" w:firstLine="0"/>
      </w:pPr>
      <w:r>
        <w:rPr>
          <w:b/>
        </w:rPr>
        <w:t xml:space="preserve"> </w:t>
      </w:r>
    </w:p>
    <w:p w:rsidR="005A7237" w:rsidRDefault="001C2754">
      <w:pPr>
        <w:spacing w:after="177" w:line="259" w:lineRule="auto"/>
        <w:ind w:left="0" w:firstLine="0"/>
      </w:pPr>
      <w:r>
        <w:rPr>
          <w:b/>
        </w:rPr>
        <w:t xml:space="preserve"> </w:t>
      </w:r>
    </w:p>
    <w:p w:rsidR="005A7237" w:rsidRDefault="001C2754">
      <w:pPr>
        <w:spacing w:after="177" w:line="259" w:lineRule="auto"/>
        <w:ind w:left="0" w:firstLine="0"/>
      </w:pPr>
      <w:r>
        <w:rPr>
          <w:b/>
        </w:rPr>
        <w:t xml:space="preserve"> </w:t>
      </w:r>
    </w:p>
    <w:p w:rsidR="005A7237" w:rsidRDefault="001C2754">
      <w:pPr>
        <w:spacing w:after="0" w:line="259" w:lineRule="auto"/>
        <w:ind w:left="0" w:firstLine="0"/>
      </w:pPr>
      <w:r>
        <w:rPr>
          <w:b/>
        </w:rPr>
        <w:t xml:space="preserve"> </w:t>
      </w:r>
    </w:p>
    <w:p w:rsidR="005A7237" w:rsidRDefault="001C2754">
      <w:pPr>
        <w:pStyle w:val="Heading1"/>
        <w:spacing w:after="221"/>
        <w:ind w:left="-5"/>
      </w:pPr>
      <w:r>
        <w:lastRenderedPageBreak/>
        <w:t xml:space="preserve">Awards and Distinctions, 2010-15 </w:t>
      </w:r>
    </w:p>
    <w:p w:rsidR="005A7237" w:rsidRDefault="001C2754">
      <w:pPr>
        <w:numPr>
          <w:ilvl w:val="0"/>
          <w:numId w:val="1"/>
        </w:numPr>
        <w:ind w:right="6" w:hanging="360"/>
      </w:pPr>
      <w:r>
        <w:t xml:space="preserve">Most diverse school in the state of Washington </w:t>
      </w:r>
    </w:p>
    <w:p w:rsidR="005A7237" w:rsidRDefault="001C2754">
      <w:pPr>
        <w:numPr>
          <w:ilvl w:val="0"/>
          <w:numId w:val="1"/>
        </w:numPr>
        <w:ind w:right="6" w:hanging="360"/>
      </w:pPr>
      <w:r>
        <w:t xml:space="preserve">WA State Achievement Index Exemplary School 2011  </w:t>
      </w:r>
    </w:p>
    <w:p w:rsidR="005A7237" w:rsidRDefault="001C2754">
      <w:pPr>
        <w:numPr>
          <w:ilvl w:val="0"/>
          <w:numId w:val="1"/>
        </w:numPr>
        <w:ind w:right="6" w:hanging="360"/>
      </w:pPr>
      <w:r>
        <w:t xml:space="preserve">WA State Achievement Award 2011- Extended Graduation Rate </w:t>
      </w:r>
    </w:p>
    <w:p w:rsidR="005A7237" w:rsidRDefault="001C2754">
      <w:pPr>
        <w:numPr>
          <w:ilvl w:val="0"/>
          <w:numId w:val="1"/>
        </w:numPr>
        <w:ind w:right="6" w:hanging="360"/>
      </w:pPr>
      <w:r>
        <w:t xml:space="preserve">Level </w:t>
      </w:r>
      <w:r w:rsidR="0026488B">
        <w:t>4</w:t>
      </w:r>
      <w:r>
        <w:t xml:space="preserve"> Green School </w:t>
      </w:r>
    </w:p>
    <w:p w:rsidR="005A7237" w:rsidRDefault="001C2754">
      <w:pPr>
        <w:numPr>
          <w:ilvl w:val="0"/>
          <w:numId w:val="1"/>
        </w:numPr>
        <w:ind w:right="6" w:hanging="360"/>
      </w:pPr>
      <w:r>
        <w:t xml:space="preserve">International Baccalaureate World School </w:t>
      </w:r>
    </w:p>
    <w:p w:rsidR="005A7237" w:rsidRDefault="001C2754">
      <w:pPr>
        <w:numPr>
          <w:ilvl w:val="0"/>
          <w:numId w:val="1"/>
        </w:numPr>
        <w:ind w:right="6" w:hanging="360"/>
      </w:pPr>
      <w:r>
        <w:t xml:space="preserve">WA State Achievement Award 2013 and 2014- English Language Acquisition </w:t>
      </w:r>
    </w:p>
    <w:p w:rsidR="005A7237" w:rsidRDefault="001C2754">
      <w:pPr>
        <w:spacing w:after="177" w:line="259" w:lineRule="auto"/>
        <w:ind w:left="720" w:firstLine="0"/>
      </w:pPr>
      <w:r>
        <w:t xml:space="preserve"> </w:t>
      </w:r>
    </w:p>
    <w:p w:rsidR="005A7237" w:rsidRDefault="001C2754">
      <w:pPr>
        <w:pStyle w:val="Heading1"/>
        <w:spacing w:after="221"/>
        <w:ind w:left="-5"/>
      </w:pPr>
      <w:r>
        <w:t xml:space="preserve">Academic and Student Programs </w:t>
      </w:r>
    </w:p>
    <w:p w:rsidR="005A7237" w:rsidRDefault="001C2754">
      <w:pPr>
        <w:numPr>
          <w:ilvl w:val="0"/>
          <w:numId w:val="2"/>
        </w:numPr>
        <w:ind w:right="6" w:hanging="360"/>
      </w:pPr>
      <w:r>
        <w:t xml:space="preserve">Kent-Meridian HS advises 51 </w:t>
      </w:r>
      <w:proofErr w:type="gramStart"/>
      <w:r>
        <w:t>service</w:t>
      </w:r>
      <w:proofErr w:type="gramEnd"/>
      <w:r>
        <w:t>, cultural and student activity clubs.  Additionally</w:t>
      </w:r>
      <w:r w:rsidR="00704DA6">
        <w:t>,</w:t>
      </w:r>
      <w:r>
        <w:t xml:space="preserve"> we house the following Academic programs to support student achievement.  </w:t>
      </w:r>
    </w:p>
    <w:p w:rsidR="00735742" w:rsidRDefault="00735742" w:rsidP="00735742">
      <w:pPr>
        <w:ind w:left="438" w:right="6" w:firstLine="0"/>
      </w:pPr>
    </w:p>
    <w:tbl>
      <w:tblPr>
        <w:tblStyle w:val="TableGrid"/>
        <w:tblW w:w="6308" w:type="dxa"/>
        <w:tblInd w:w="725" w:type="dxa"/>
        <w:tblCellMar>
          <w:top w:w="46" w:type="dxa"/>
          <w:left w:w="108" w:type="dxa"/>
          <w:right w:w="72" w:type="dxa"/>
        </w:tblCellMar>
        <w:tblLook w:val="04A0" w:firstRow="1" w:lastRow="0" w:firstColumn="1" w:lastColumn="0" w:noHBand="0" w:noVBand="1"/>
      </w:tblPr>
      <w:tblGrid>
        <w:gridCol w:w="3154"/>
        <w:gridCol w:w="3154"/>
      </w:tblGrid>
      <w:tr w:rsidR="005A7237">
        <w:trPr>
          <w:trHeight w:val="301"/>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Associated Student Body (ASB)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Interact Club </w:t>
            </w:r>
          </w:p>
        </w:tc>
      </w:tr>
      <w:tr w:rsidR="005A7237" w:rsidTr="00735742">
        <w:trPr>
          <w:trHeight w:val="295"/>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Debate/Speech/Drama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Jazz Band/ Choir </w:t>
            </w:r>
          </w:p>
        </w:tc>
      </w:tr>
      <w:tr w:rsidR="00EF271D" w:rsidTr="00735742">
        <w:trPr>
          <w:trHeight w:val="304"/>
        </w:trPr>
        <w:tc>
          <w:tcPr>
            <w:tcW w:w="3154" w:type="dxa"/>
            <w:tcBorders>
              <w:top w:val="single" w:sz="4" w:space="0" w:color="000000"/>
              <w:left w:val="single" w:sz="4" w:space="0" w:color="000000"/>
              <w:bottom w:val="single" w:sz="4" w:space="0" w:color="000000"/>
              <w:right w:val="single" w:sz="4" w:space="0" w:color="000000"/>
            </w:tcBorders>
          </w:tcPr>
          <w:p w:rsidR="00EF271D" w:rsidRDefault="003C7996">
            <w:pPr>
              <w:spacing w:after="0" w:line="259" w:lineRule="auto"/>
              <w:ind w:left="0" w:firstLine="0"/>
            </w:pPr>
            <w:r>
              <w:t>College Success Foundation</w:t>
            </w:r>
          </w:p>
        </w:tc>
        <w:tc>
          <w:tcPr>
            <w:tcW w:w="3154" w:type="dxa"/>
            <w:tcBorders>
              <w:top w:val="single" w:sz="4" w:space="0" w:color="000000"/>
              <w:left w:val="single" w:sz="4" w:space="0" w:color="000000"/>
              <w:bottom w:val="single" w:sz="4" w:space="0" w:color="000000"/>
              <w:right w:val="single" w:sz="4" w:space="0" w:color="000000"/>
            </w:tcBorders>
          </w:tcPr>
          <w:p w:rsidR="00EF271D" w:rsidRDefault="003C7996">
            <w:pPr>
              <w:spacing w:after="0" w:line="259" w:lineRule="auto"/>
              <w:ind w:left="0" w:firstLine="0"/>
            </w:pPr>
            <w:r>
              <w:t>Communities in Schools</w:t>
            </w:r>
          </w:p>
        </w:tc>
      </w:tr>
      <w:tr w:rsidR="005A7237">
        <w:trPr>
          <w:trHeight w:val="317"/>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DECA/Student Store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Key Club </w:t>
            </w:r>
          </w:p>
        </w:tc>
      </w:tr>
      <w:tr w:rsidR="005A7237">
        <w:trPr>
          <w:trHeight w:val="317"/>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Dream Project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National Honors Society </w:t>
            </w:r>
          </w:p>
        </w:tc>
      </w:tr>
      <w:tr w:rsidR="005A7237">
        <w:trPr>
          <w:trHeight w:val="300"/>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ELL English Language Learners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Orchestra </w:t>
            </w:r>
          </w:p>
        </w:tc>
      </w:tr>
      <w:tr w:rsidR="005A7237">
        <w:trPr>
          <w:trHeight w:val="607"/>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FBLA Future Business Leaders of America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PTSA </w:t>
            </w:r>
          </w:p>
        </w:tc>
      </w:tr>
      <w:tr w:rsidR="005A7237">
        <w:trPr>
          <w:trHeight w:val="624"/>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jc w:val="both"/>
            </w:pPr>
            <w:r>
              <w:t xml:space="preserve">FCCLA Family Career Community Leaders of America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School Newspaper </w:t>
            </w:r>
          </w:p>
        </w:tc>
      </w:tr>
      <w:tr w:rsidR="00735742">
        <w:trPr>
          <w:trHeight w:val="627"/>
        </w:trPr>
        <w:tc>
          <w:tcPr>
            <w:tcW w:w="3154" w:type="dxa"/>
            <w:tcBorders>
              <w:top w:val="single" w:sz="4" w:space="0" w:color="000000"/>
              <w:left w:val="single" w:sz="4" w:space="0" w:color="000000"/>
              <w:bottom w:val="single" w:sz="4" w:space="0" w:color="000000"/>
              <w:right w:val="single" w:sz="4" w:space="0" w:color="000000"/>
            </w:tcBorders>
          </w:tcPr>
          <w:p w:rsidR="00735742" w:rsidRDefault="00735742">
            <w:pPr>
              <w:spacing w:after="0" w:line="259" w:lineRule="auto"/>
              <w:ind w:left="0" w:firstLine="0"/>
            </w:pPr>
            <w:r>
              <w:t>Advanced Placement</w:t>
            </w:r>
          </w:p>
        </w:tc>
        <w:tc>
          <w:tcPr>
            <w:tcW w:w="3154" w:type="dxa"/>
            <w:tcBorders>
              <w:top w:val="single" w:sz="4" w:space="0" w:color="000000"/>
              <w:left w:val="single" w:sz="4" w:space="0" w:color="000000"/>
              <w:bottom w:val="single" w:sz="4" w:space="0" w:color="000000"/>
              <w:right w:val="single" w:sz="4" w:space="0" w:color="000000"/>
            </w:tcBorders>
          </w:tcPr>
          <w:p w:rsidR="00735742" w:rsidRDefault="00735742">
            <w:pPr>
              <w:spacing w:after="0" w:line="259" w:lineRule="auto"/>
              <w:ind w:left="0" w:firstLine="0"/>
            </w:pPr>
            <w:r>
              <w:t xml:space="preserve">EWU &amp; </w:t>
            </w:r>
            <w:proofErr w:type="gramStart"/>
            <w:r>
              <w:t>CWU  College</w:t>
            </w:r>
            <w:proofErr w:type="gramEnd"/>
            <w:r>
              <w:t xml:space="preserve"> in the High School </w:t>
            </w:r>
          </w:p>
        </w:tc>
      </w:tr>
      <w:tr w:rsidR="005A7237">
        <w:trPr>
          <w:trHeight w:val="627"/>
        </w:trPr>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International Baccalaureate </w:t>
            </w:r>
          </w:p>
        </w:tc>
        <w:tc>
          <w:tcPr>
            <w:tcW w:w="3154" w:type="dxa"/>
            <w:tcBorders>
              <w:top w:val="single" w:sz="4" w:space="0" w:color="000000"/>
              <w:left w:val="single" w:sz="4" w:space="0" w:color="000000"/>
              <w:bottom w:val="single" w:sz="4" w:space="0" w:color="000000"/>
              <w:right w:val="single" w:sz="4" w:space="0" w:color="000000"/>
            </w:tcBorders>
          </w:tcPr>
          <w:p w:rsidR="005A7237" w:rsidRDefault="001C2754">
            <w:pPr>
              <w:spacing w:after="0" w:line="259" w:lineRule="auto"/>
              <w:ind w:left="0" w:firstLine="0"/>
            </w:pPr>
            <w:r>
              <w:t xml:space="preserve">Varsity Sports (18 Teams) </w:t>
            </w:r>
          </w:p>
        </w:tc>
      </w:tr>
    </w:tbl>
    <w:p w:rsidR="005A7237" w:rsidRDefault="001C2754">
      <w:pPr>
        <w:spacing w:after="177"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9"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8"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9"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7" w:line="259" w:lineRule="auto"/>
        <w:ind w:left="0" w:firstLine="0"/>
      </w:pPr>
      <w:r>
        <w:t xml:space="preserve"> </w:t>
      </w:r>
    </w:p>
    <w:p w:rsidR="005A7237" w:rsidRDefault="001C2754">
      <w:pPr>
        <w:spacing w:after="177" w:line="259" w:lineRule="auto"/>
        <w:ind w:left="0" w:firstLine="0"/>
      </w:pPr>
      <w:r>
        <w:lastRenderedPageBreak/>
        <w:t xml:space="preserve"> </w:t>
      </w:r>
    </w:p>
    <w:p w:rsidR="005A7237" w:rsidRDefault="001C2754">
      <w:pPr>
        <w:spacing w:after="179" w:line="259" w:lineRule="auto"/>
        <w:ind w:left="0" w:firstLine="0"/>
      </w:pPr>
      <w:r>
        <w:t xml:space="preserve"> </w:t>
      </w:r>
    </w:p>
    <w:p w:rsidR="005A7237" w:rsidRDefault="001C2754">
      <w:pPr>
        <w:spacing w:after="0" w:line="259" w:lineRule="auto"/>
        <w:ind w:left="0" w:firstLine="0"/>
      </w:pPr>
      <w:r>
        <w:t xml:space="preserve"> </w:t>
      </w:r>
    </w:p>
    <w:p w:rsidR="005A7237" w:rsidRDefault="001C2754">
      <w:pPr>
        <w:spacing w:after="0" w:line="259" w:lineRule="auto"/>
        <w:ind w:left="955" w:firstLine="0"/>
      </w:pPr>
      <w:r>
        <w:rPr>
          <w:b/>
          <w:sz w:val="28"/>
        </w:rPr>
        <w:t xml:space="preserve">Colleges attended by Kent-Meridian graduates over the last four years </w:t>
      </w:r>
    </w:p>
    <w:p w:rsidR="005A7237" w:rsidRDefault="005A7237">
      <w:pPr>
        <w:sectPr w:rsidR="005A7237">
          <w:pgSz w:w="12240" w:h="15840"/>
          <w:pgMar w:top="1152" w:right="668" w:bottom="733" w:left="1440" w:header="720" w:footer="720" w:gutter="0"/>
          <w:cols w:space="720"/>
        </w:sectPr>
      </w:pPr>
    </w:p>
    <w:p w:rsidR="005A7237" w:rsidRDefault="001C2754" w:rsidP="00911E6F">
      <w:pPr>
        <w:numPr>
          <w:ilvl w:val="0"/>
          <w:numId w:val="2"/>
        </w:numPr>
        <w:spacing w:line="240" w:lineRule="auto"/>
        <w:ind w:right="6" w:hanging="360"/>
      </w:pPr>
      <w:r>
        <w:t xml:space="preserve">Art Institute of Seattle </w:t>
      </w:r>
    </w:p>
    <w:p w:rsidR="005A7237" w:rsidRDefault="001C2754" w:rsidP="00911E6F">
      <w:pPr>
        <w:numPr>
          <w:ilvl w:val="0"/>
          <w:numId w:val="2"/>
        </w:numPr>
        <w:spacing w:line="240" w:lineRule="auto"/>
        <w:ind w:right="6" w:hanging="360"/>
      </w:pPr>
      <w:r>
        <w:t xml:space="preserve">Bellevue College </w:t>
      </w:r>
    </w:p>
    <w:p w:rsidR="005A7237" w:rsidRDefault="001C2754" w:rsidP="00911E6F">
      <w:pPr>
        <w:numPr>
          <w:ilvl w:val="0"/>
          <w:numId w:val="2"/>
        </w:numPr>
        <w:spacing w:line="240" w:lineRule="auto"/>
        <w:ind w:right="6" w:hanging="360"/>
      </w:pPr>
      <w:r>
        <w:t xml:space="preserve">Bethel University </w:t>
      </w:r>
    </w:p>
    <w:p w:rsidR="005A7237" w:rsidRDefault="001C2754" w:rsidP="00911E6F">
      <w:pPr>
        <w:numPr>
          <w:ilvl w:val="0"/>
          <w:numId w:val="2"/>
        </w:numPr>
        <w:spacing w:line="240" w:lineRule="auto"/>
        <w:ind w:right="6" w:hanging="360"/>
      </w:pPr>
      <w:r>
        <w:t xml:space="preserve">UC Berkeley  </w:t>
      </w:r>
    </w:p>
    <w:p w:rsidR="005A7237" w:rsidRDefault="001C2754" w:rsidP="00911E6F">
      <w:pPr>
        <w:numPr>
          <w:ilvl w:val="0"/>
          <w:numId w:val="2"/>
        </w:numPr>
        <w:spacing w:line="240" w:lineRule="auto"/>
        <w:ind w:right="6" w:hanging="360"/>
      </w:pPr>
      <w:r>
        <w:t xml:space="preserve">Blinn College </w:t>
      </w:r>
    </w:p>
    <w:p w:rsidR="005A7237" w:rsidRDefault="001C2754" w:rsidP="00911E6F">
      <w:pPr>
        <w:numPr>
          <w:ilvl w:val="0"/>
          <w:numId w:val="2"/>
        </w:numPr>
        <w:spacing w:line="240" w:lineRule="auto"/>
        <w:ind w:right="6" w:hanging="360"/>
      </w:pPr>
      <w:r>
        <w:t xml:space="preserve">Central College, Iowa </w:t>
      </w:r>
    </w:p>
    <w:p w:rsidR="005A7237" w:rsidRDefault="001C2754" w:rsidP="00911E6F">
      <w:pPr>
        <w:numPr>
          <w:ilvl w:val="0"/>
          <w:numId w:val="2"/>
        </w:numPr>
        <w:spacing w:line="240" w:lineRule="auto"/>
        <w:ind w:right="6" w:hanging="360"/>
      </w:pPr>
      <w:r>
        <w:t xml:space="preserve">Central Washington University </w:t>
      </w:r>
    </w:p>
    <w:p w:rsidR="005A7237" w:rsidRDefault="001C2754" w:rsidP="00911E6F">
      <w:pPr>
        <w:numPr>
          <w:ilvl w:val="0"/>
          <w:numId w:val="2"/>
        </w:numPr>
        <w:spacing w:line="240" w:lineRule="auto"/>
        <w:ind w:right="6" w:hanging="360"/>
      </w:pPr>
      <w:r>
        <w:t xml:space="preserve">Clark University </w:t>
      </w:r>
    </w:p>
    <w:p w:rsidR="005A7237" w:rsidRDefault="001C2754" w:rsidP="00911E6F">
      <w:pPr>
        <w:numPr>
          <w:ilvl w:val="0"/>
          <w:numId w:val="2"/>
        </w:numPr>
        <w:spacing w:line="240" w:lineRule="auto"/>
        <w:ind w:right="6" w:hanging="360"/>
      </w:pPr>
      <w:r>
        <w:t xml:space="preserve">Eastern Washington University </w:t>
      </w:r>
    </w:p>
    <w:p w:rsidR="005A7237" w:rsidRDefault="001C2754" w:rsidP="00911E6F">
      <w:pPr>
        <w:numPr>
          <w:ilvl w:val="0"/>
          <w:numId w:val="2"/>
        </w:numPr>
        <w:spacing w:line="240" w:lineRule="auto"/>
        <w:ind w:right="6" w:hanging="360"/>
      </w:pPr>
      <w:r>
        <w:t xml:space="preserve">Edmonds Community College </w:t>
      </w:r>
    </w:p>
    <w:p w:rsidR="005A7237" w:rsidRDefault="001C2754" w:rsidP="00911E6F">
      <w:pPr>
        <w:numPr>
          <w:ilvl w:val="0"/>
          <w:numId w:val="2"/>
        </w:numPr>
        <w:spacing w:line="240" w:lineRule="auto"/>
        <w:ind w:right="6" w:hanging="360"/>
      </w:pPr>
      <w:r>
        <w:t xml:space="preserve">Embry-Riddle Aeronautical University </w:t>
      </w:r>
    </w:p>
    <w:p w:rsidR="005A7237" w:rsidRDefault="001C2754" w:rsidP="00911E6F">
      <w:pPr>
        <w:numPr>
          <w:ilvl w:val="0"/>
          <w:numId w:val="2"/>
        </w:numPr>
        <w:spacing w:line="240" w:lineRule="auto"/>
        <w:ind w:right="6" w:hanging="360"/>
      </w:pPr>
      <w:r>
        <w:t xml:space="preserve">Everest College </w:t>
      </w:r>
    </w:p>
    <w:p w:rsidR="005A7237" w:rsidRDefault="001C2754" w:rsidP="00911E6F">
      <w:pPr>
        <w:numPr>
          <w:ilvl w:val="0"/>
          <w:numId w:val="2"/>
        </w:numPr>
        <w:spacing w:line="240" w:lineRule="auto"/>
        <w:ind w:right="6" w:hanging="360"/>
      </w:pPr>
      <w:r>
        <w:t xml:space="preserve">Everett Community College </w:t>
      </w:r>
    </w:p>
    <w:p w:rsidR="005A7237" w:rsidRDefault="001C2754" w:rsidP="00911E6F">
      <w:pPr>
        <w:numPr>
          <w:ilvl w:val="0"/>
          <w:numId w:val="2"/>
        </w:numPr>
        <w:spacing w:line="240" w:lineRule="auto"/>
        <w:ind w:right="6" w:hanging="360"/>
      </w:pPr>
      <w:r>
        <w:t xml:space="preserve">Evergreen State College </w:t>
      </w:r>
    </w:p>
    <w:p w:rsidR="005A7237" w:rsidRDefault="001C2754" w:rsidP="00911E6F">
      <w:pPr>
        <w:numPr>
          <w:ilvl w:val="0"/>
          <w:numId w:val="2"/>
        </w:numPr>
        <w:spacing w:line="240" w:lineRule="auto"/>
        <w:ind w:right="6" w:hanging="360"/>
      </w:pPr>
      <w:r>
        <w:t xml:space="preserve">George Fox University </w:t>
      </w:r>
    </w:p>
    <w:p w:rsidR="005A7237" w:rsidRDefault="001C2754" w:rsidP="00911E6F">
      <w:pPr>
        <w:numPr>
          <w:ilvl w:val="0"/>
          <w:numId w:val="2"/>
        </w:numPr>
        <w:spacing w:line="240" w:lineRule="auto"/>
        <w:ind w:right="6" w:hanging="360"/>
      </w:pPr>
      <w:r>
        <w:t xml:space="preserve">Gonzaga University </w:t>
      </w:r>
    </w:p>
    <w:p w:rsidR="005A7237" w:rsidRDefault="001C2754" w:rsidP="00911E6F">
      <w:pPr>
        <w:numPr>
          <w:ilvl w:val="0"/>
          <w:numId w:val="2"/>
        </w:numPr>
        <w:spacing w:line="240" w:lineRule="auto"/>
        <w:ind w:right="6" w:hanging="360"/>
      </w:pPr>
      <w:r>
        <w:t xml:space="preserve">Gordon College </w:t>
      </w:r>
    </w:p>
    <w:p w:rsidR="005A7237" w:rsidRDefault="001C2754" w:rsidP="00911E6F">
      <w:pPr>
        <w:numPr>
          <w:ilvl w:val="0"/>
          <w:numId w:val="2"/>
        </w:numPr>
        <w:spacing w:line="240" w:lineRule="auto"/>
        <w:ind w:right="6" w:hanging="360"/>
      </w:pPr>
      <w:r>
        <w:t xml:space="preserve">Green River Community College </w:t>
      </w:r>
    </w:p>
    <w:p w:rsidR="005A7237" w:rsidRDefault="001C2754" w:rsidP="00911E6F">
      <w:pPr>
        <w:numPr>
          <w:ilvl w:val="0"/>
          <w:numId w:val="2"/>
        </w:numPr>
        <w:spacing w:line="240" w:lineRule="auto"/>
        <w:ind w:right="6" w:hanging="360"/>
      </w:pPr>
      <w:r>
        <w:t xml:space="preserve">Harris-Stowe State University </w:t>
      </w:r>
    </w:p>
    <w:p w:rsidR="005A7237" w:rsidRDefault="001C2754" w:rsidP="00911E6F">
      <w:pPr>
        <w:numPr>
          <w:ilvl w:val="0"/>
          <w:numId w:val="2"/>
        </w:numPr>
        <w:spacing w:line="240" w:lineRule="auto"/>
        <w:ind w:right="6" w:hanging="360"/>
      </w:pPr>
      <w:r>
        <w:t xml:space="preserve">Hawaii Pacific University </w:t>
      </w:r>
    </w:p>
    <w:p w:rsidR="005A7237" w:rsidRDefault="001C2754" w:rsidP="00911E6F">
      <w:pPr>
        <w:numPr>
          <w:ilvl w:val="0"/>
          <w:numId w:val="2"/>
        </w:numPr>
        <w:spacing w:line="240" w:lineRule="auto"/>
        <w:ind w:right="6" w:hanging="360"/>
      </w:pPr>
      <w:r>
        <w:t xml:space="preserve">Highline Community College </w:t>
      </w:r>
    </w:p>
    <w:p w:rsidR="005A7237" w:rsidRDefault="001C2754" w:rsidP="00911E6F">
      <w:pPr>
        <w:numPr>
          <w:ilvl w:val="0"/>
          <w:numId w:val="2"/>
        </w:numPr>
        <w:spacing w:line="240" w:lineRule="auto"/>
        <w:ind w:right="6" w:hanging="360"/>
      </w:pPr>
      <w:r>
        <w:t xml:space="preserve">Idaho State University </w:t>
      </w:r>
    </w:p>
    <w:p w:rsidR="005A7237" w:rsidRDefault="001C2754" w:rsidP="00911E6F">
      <w:pPr>
        <w:numPr>
          <w:ilvl w:val="0"/>
          <w:numId w:val="2"/>
        </w:numPr>
        <w:spacing w:line="240" w:lineRule="auto"/>
        <w:ind w:right="6" w:hanging="360"/>
      </w:pPr>
      <w:r>
        <w:t xml:space="preserve">Ithaca College </w:t>
      </w:r>
    </w:p>
    <w:p w:rsidR="005A7237" w:rsidRDefault="001C2754" w:rsidP="00911E6F">
      <w:pPr>
        <w:numPr>
          <w:ilvl w:val="0"/>
          <w:numId w:val="2"/>
        </w:numPr>
        <w:spacing w:line="240" w:lineRule="auto"/>
        <w:ind w:right="6" w:hanging="360"/>
      </w:pPr>
      <w:r>
        <w:t xml:space="preserve">Jamestown College </w:t>
      </w:r>
    </w:p>
    <w:p w:rsidR="005A7237" w:rsidRDefault="001C2754" w:rsidP="00911E6F">
      <w:pPr>
        <w:numPr>
          <w:ilvl w:val="0"/>
          <w:numId w:val="2"/>
        </w:numPr>
        <w:spacing w:line="240" w:lineRule="auto"/>
        <w:ind w:right="6" w:hanging="360"/>
      </w:pPr>
      <w:r>
        <w:t xml:space="preserve">Johnson C. Smith University </w:t>
      </w:r>
    </w:p>
    <w:p w:rsidR="005A7237" w:rsidRDefault="001C2754" w:rsidP="00911E6F">
      <w:pPr>
        <w:numPr>
          <w:ilvl w:val="0"/>
          <w:numId w:val="2"/>
        </w:numPr>
        <w:spacing w:line="240" w:lineRule="auto"/>
        <w:ind w:right="6" w:hanging="360"/>
      </w:pPr>
      <w:r>
        <w:t xml:space="preserve">Lewis and Clark College </w:t>
      </w:r>
    </w:p>
    <w:p w:rsidR="005A7237" w:rsidRDefault="001C2754" w:rsidP="00911E6F">
      <w:pPr>
        <w:numPr>
          <w:ilvl w:val="0"/>
          <w:numId w:val="2"/>
        </w:numPr>
        <w:spacing w:line="240" w:lineRule="auto"/>
        <w:ind w:right="6" w:hanging="360"/>
      </w:pPr>
      <w:r>
        <w:t xml:space="preserve">Linfield College </w:t>
      </w:r>
    </w:p>
    <w:p w:rsidR="005A7237" w:rsidRDefault="001C2754" w:rsidP="00911E6F">
      <w:pPr>
        <w:numPr>
          <w:ilvl w:val="0"/>
          <w:numId w:val="2"/>
        </w:numPr>
        <w:spacing w:line="240" w:lineRule="auto"/>
        <w:ind w:right="6" w:hanging="360"/>
      </w:pPr>
      <w:r>
        <w:t xml:space="preserve">Metropolitan State College of Denver </w:t>
      </w:r>
    </w:p>
    <w:p w:rsidR="005A7237" w:rsidRDefault="001C2754" w:rsidP="00911E6F">
      <w:pPr>
        <w:numPr>
          <w:ilvl w:val="0"/>
          <w:numId w:val="2"/>
        </w:numPr>
        <w:spacing w:line="240" w:lineRule="auto"/>
        <w:ind w:right="6" w:hanging="360"/>
      </w:pPr>
      <w:r>
        <w:t xml:space="preserve">Northern Arizona University </w:t>
      </w:r>
    </w:p>
    <w:p w:rsidR="005A7237" w:rsidRDefault="001C2754" w:rsidP="00911E6F">
      <w:pPr>
        <w:numPr>
          <w:ilvl w:val="0"/>
          <w:numId w:val="2"/>
        </w:numPr>
        <w:spacing w:line="240" w:lineRule="auto"/>
        <w:ind w:right="6" w:hanging="360"/>
      </w:pPr>
      <w:r>
        <w:t xml:space="preserve">Ohio State University </w:t>
      </w:r>
    </w:p>
    <w:p w:rsidR="005A7237" w:rsidRDefault="001C2754" w:rsidP="00911E6F">
      <w:pPr>
        <w:numPr>
          <w:ilvl w:val="0"/>
          <w:numId w:val="2"/>
        </w:numPr>
        <w:spacing w:line="240" w:lineRule="auto"/>
        <w:ind w:right="6" w:hanging="360"/>
      </w:pPr>
      <w:r>
        <w:t xml:space="preserve">Olivet Nazarene University </w:t>
      </w:r>
    </w:p>
    <w:p w:rsidR="005A7237" w:rsidRDefault="001C2754" w:rsidP="00911E6F">
      <w:pPr>
        <w:numPr>
          <w:ilvl w:val="0"/>
          <w:numId w:val="2"/>
        </w:numPr>
        <w:spacing w:line="240" w:lineRule="auto"/>
        <w:ind w:right="6" w:hanging="360"/>
      </w:pPr>
      <w:r>
        <w:t xml:space="preserve">Pacific Lutheran University </w:t>
      </w:r>
    </w:p>
    <w:p w:rsidR="005A7237" w:rsidRDefault="001C2754" w:rsidP="00911E6F">
      <w:pPr>
        <w:numPr>
          <w:ilvl w:val="0"/>
          <w:numId w:val="2"/>
        </w:numPr>
        <w:spacing w:line="240" w:lineRule="auto"/>
        <w:ind w:right="6" w:hanging="360"/>
      </w:pPr>
      <w:r>
        <w:t xml:space="preserve">Pacific University </w:t>
      </w:r>
    </w:p>
    <w:p w:rsidR="005A7237" w:rsidRDefault="001C2754" w:rsidP="00911E6F">
      <w:pPr>
        <w:numPr>
          <w:ilvl w:val="0"/>
          <w:numId w:val="2"/>
        </w:numPr>
        <w:spacing w:line="240" w:lineRule="auto"/>
        <w:ind w:right="6" w:hanging="360"/>
      </w:pPr>
      <w:r>
        <w:t xml:space="preserve">Pierce Community College </w:t>
      </w:r>
    </w:p>
    <w:p w:rsidR="00911E6F" w:rsidRPr="00911E6F" w:rsidRDefault="001C2754" w:rsidP="00911E6F">
      <w:pPr>
        <w:numPr>
          <w:ilvl w:val="0"/>
          <w:numId w:val="2"/>
        </w:numPr>
        <w:spacing w:line="240" w:lineRule="auto"/>
        <w:ind w:right="6" w:hanging="360"/>
      </w:pPr>
      <w:r>
        <w:t xml:space="preserve">Pima Community College </w:t>
      </w:r>
    </w:p>
    <w:p w:rsidR="005A7237" w:rsidRDefault="001C2754" w:rsidP="00911E6F">
      <w:pPr>
        <w:numPr>
          <w:ilvl w:val="0"/>
          <w:numId w:val="2"/>
        </w:numPr>
        <w:spacing w:line="240" w:lineRule="auto"/>
        <w:ind w:right="6" w:hanging="360"/>
      </w:pPr>
      <w:r>
        <w:t xml:space="preserve">Renton Technical College </w:t>
      </w:r>
    </w:p>
    <w:p w:rsidR="005A7237" w:rsidRDefault="001C2754" w:rsidP="00911E6F">
      <w:pPr>
        <w:numPr>
          <w:ilvl w:val="0"/>
          <w:numId w:val="2"/>
        </w:numPr>
        <w:spacing w:line="240" w:lineRule="auto"/>
        <w:ind w:right="6" w:hanging="360"/>
      </w:pPr>
      <w:r>
        <w:t xml:space="preserve">Rutgers University </w:t>
      </w:r>
    </w:p>
    <w:p w:rsidR="005A7237" w:rsidRDefault="001C2754" w:rsidP="00911E6F">
      <w:pPr>
        <w:numPr>
          <w:ilvl w:val="0"/>
          <w:numId w:val="2"/>
        </w:numPr>
        <w:spacing w:line="240" w:lineRule="auto"/>
        <w:ind w:right="6" w:hanging="360"/>
      </w:pPr>
      <w:r>
        <w:t xml:space="preserve">San Francisco Art University </w:t>
      </w:r>
    </w:p>
    <w:p w:rsidR="005A7237" w:rsidRDefault="001C2754" w:rsidP="00911E6F">
      <w:pPr>
        <w:numPr>
          <w:ilvl w:val="0"/>
          <w:numId w:val="2"/>
        </w:numPr>
        <w:spacing w:line="240" w:lineRule="auto"/>
        <w:ind w:right="6" w:hanging="360"/>
      </w:pPr>
      <w:r>
        <w:t xml:space="preserve">Seattle Pacific University </w:t>
      </w:r>
    </w:p>
    <w:p w:rsidR="005A7237" w:rsidRDefault="001C2754" w:rsidP="00911E6F">
      <w:pPr>
        <w:numPr>
          <w:ilvl w:val="0"/>
          <w:numId w:val="2"/>
        </w:numPr>
        <w:spacing w:line="240" w:lineRule="auto"/>
        <w:ind w:right="6" w:hanging="360"/>
      </w:pPr>
      <w:r>
        <w:t xml:space="preserve">Seattle University </w:t>
      </w:r>
    </w:p>
    <w:p w:rsidR="00911E6F" w:rsidRDefault="00911E6F" w:rsidP="00911E6F">
      <w:pPr>
        <w:numPr>
          <w:ilvl w:val="0"/>
          <w:numId w:val="2"/>
        </w:numPr>
        <w:spacing w:after="0" w:line="240" w:lineRule="auto"/>
        <w:ind w:right="6" w:hanging="360"/>
      </w:pPr>
      <w:r>
        <w:t>South Seattle Community College</w:t>
      </w:r>
    </w:p>
    <w:p w:rsidR="005A7237" w:rsidRDefault="001C2754" w:rsidP="00911E6F">
      <w:pPr>
        <w:numPr>
          <w:ilvl w:val="0"/>
          <w:numId w:val="2"/>
        </w:numPr>
        <w:spacing w:after="0" w:line="240" w:lineRule="auto"/>
        <w:ind w:right="6" w:hanging="360"/>
      </w:pPr>
      <w:r>
        <w:t xml:space="preserve">Spokane Falls Community College </w:t>
      </w:r>
    </w:p>
    <w:p w:rsidR="005A7237" w:rsidRDefault="001C2754" w:rsidP="00911E6F">
      <w:pPr>
        <w:numPr>
          <w:ilvl w:val="0"/>
          <w:numId w:val="2"/>
        </w:numPr>
        <w:spacing w:line="240" w:lineRule="auto"/>
        <w:ind w:right="6" w:hanging="360"/>
      </w:pPr>
      <w:r>
        <w:t xml:space="preserve">St. Martin’s University </w:t>
      </w:r>
    </w:p>
    <w:p w:rsidR="005A7237" w:rsidRDefault="001C2754" w:rsidP="00911E6F">
      <w:pPr>
        <w:numPr>
          <w:ilvl w:val="0"/>
          <w:numId w:val="2"/>
        </w:numPr>
        <w:spacing w:line="240" w:lineRule="auto"/>
        <w:ind w:right="6" w:hanging="360"/>
      </w:pPr>
      <w:r>
        <w:t xml:space="preserve">Syracuse University </w:t>
      </w:r>
    </w:p>
    <w:p w:rsidR="005A7237" w:rsidRDefault="001C2754" w:rsidP="00911E6F">
      <w:pPr>
        <w:numPr>
          <w:ilvl w:val="0"/>
          <w:numId w:val="2"/>
        </w:numPr>
        <w:spacing w:line="240" w:lineRule="auto"/>
        <w:ind w:right="6" w:hanging="360"/>
      </w:pPr>
      <w:r>
        <w:t xml:space="preserve">Tacoma Community College </w:t>
      </w:r>
    </w:p>
    <w:p w:rsidR="005A7237" w:rsidRDefault="001C2754" w:rsidP="00911E6F">
      <w:pPr>
        <w:numPr>
          <w:ilvl w:val="0"/>
          <w:numId w:val="2"/>
        </w:numPr>
        <w:spacing w:line="240" w:lineRule="auto"/>
        <w:ind w:right="6" w:hanging="360"/>
      </w:pPr>
      <w:r>
        <w:t xml:space="preserve">Texas Southern University </w:t>
      </w:r>
    </w:p>
    <w:p w:rsidR="005A7237" w:rsidRDefault="001C2754" w:rsidP="00911E6F">
      <w:pPr>
        <w:numPr>
          <w:ilvl w:val="0"/>
          <w:numId w:val="2"/>
        </w:numPr>
        <w:spacing w:line="240" w:lineRule="auto"/>
        <w:ind w:right="6" w:hanging="360"/>
      </w:pPr>
      <w:r>
        <w:t xml:space="preserve">Trinity Lutheran University </w:t>
      </w:r>
    </w:p>
    <w:p w:rsidR="00911E6F" w:rsidRDefault="00911E6F" w:rsidP="00911E6F">
      <w:pPr>
        <w:numPr>
          <w:ilvl w:val="0"/>
          <w:numId w:val="2"/>
        </w:numPr>
        <w:spacing w:line="240" w:lineRule="auto"/>
        <w:ind w:right="6" w:hanging="360"/>
      </w:pPr>
      <w:r>
        <w:t>Union College</w:t>
      </w:r>
    </w:p>
    <w:p w:rsidR="005A7237" w:rsidRDefault="001C2754" w:rsidP="00911E6F">
      <w:pPr>
        <w:numPr>
          <w:ilvl w:val="0"/>
          <w:numId w:val="2"/>
        </w:numPr>
        <w:spacing w:line="240" w:lineRule="auto"/>
        <w:ind w:right="6" w:hanging="360"/>
      </w:pPr>
      <w:r>
        <w:t xml:space="preserve">University of Alaska, Anchorage </w:t>
      </w:r>
    </w:p>
    <w:p w:rsidR="00911E6F" w:rsidRDefault="00911E6F" w:rsidP="00911E6F">
      <w:pPr>
        <w:numPr>
          <w:ilvl w:val="0"/>
          <w:numId w:val="2"/>
        </w:numPr>
        <w:spacing w:line="240" w:lineRule="auto"/>
        <w:ind w:right="6" w:hanging="360"/>
      </w:pPr>
      <w:r>
        <w:t>University of California, San Diego</w:t>
      </w:r>
    </w:p>
    <w:p w:rsidR="005A7237" w:rsidRDefault="001C2754" w:rsidP="00911E6F">
      <w:pPr>
        <w:numPr>
          <w:ilvl w:val="0"/>
          <w:numId w:val="2"/>
        </w:numPr>
        <w:spacing w:line="240" w:lineRule="auto"/>
        <w:ind w:right="6" w:hanging="360"/>
      </w:pPr>
      <w:r>
        <w:t xml:space="preserve">University of Houston </w:t>
      </w:r>
    </w:p>
    <w:p w:rsidR="005A7237" w:rsidRDefault="001C2754" w:rsidP="00911E6F">
      <w:pPr>
        <w:numPr>
          <w:ilvl w:val="0"/>
          <w:numId w:val="2"/>
        </w:numPr>
        <w:spacing w:line="240" w:lineRule="auto"/>
        <w:ind w:right="6" w:hanging="360"/>
      </w:pPr>
      <w:r>
        <w:t xml:space="preserve">University of Montana </w:t>
      </w:r>
    </w:p>
    <w:p w:rsidR="005A7237" w:rsidRDefault="001C2754" w:rsidP="00911E6F">
      <w:pPr>
        <w:numPr>
          <w:ilvl w:val="0"/>
          <w:numId w:val="2"/>
        </w:numPr>
        <w:spacing w:line="240" w:lineRule="auto"/>
        <w:ind w:right="6" w:hanging="360"/>
      </w:pPr>
      <w:r>
        <w:t xml:space="preserve">University of Nevada Las Vegas </w:t>
      </w:r>
    </w:p>
    <w:p w:rsidR="005A7237" w:rsidRDefault="001C2754" w:rsidP="00911E6F">
      <w:pPr>
        <w:numPr>
          <w:ilvl w:val="0"/>
          <w:numId w:val="2"/>
        </w:numPr>
        <w:spacing w:line="240" w:lineRule="auto"/>
        <w:ind w:right="6" w:hanging="360"/>
      </w:pPr>
      <w:r>
        <w:t xml:space="preserve">University of Oregon </w:t>
      </w:r>
    </w:p>
    <w:p w:rsidR="005A7237" w:rsidRDefault="001C2754" w:rsidP="00911E6F">
      <w:pPr>
        <w:numPr>
          <w:ilvl w:val="0"/>
          <w:numId w:val="2"/>
        </w:numPr>
        <w:spacing w:line="240" w:lineRule="auto"/>
        <w:ind w:right="6" w:hanging="360"/>
      </w:pPr>
      <w:r>
        <w:t xml:space="preserve">University of Portland </w:t>
      </w:r>
    </w:p>
    <w:p w:rsidR="005A7237" w:rsidRDefault="001C2754" w:rsidP="00911E6F">
      <w:pPr>
        <w:numPr>
          <w:ilvl w:val="0"/>
          <w:numId w:val="2"/>
        </w:numPr>
        <w:spacing w:line="240" w:lineRule="auto"/>
        <w:ind w:right="6" w:hanging="360"/>
      </w:pPr>
      <w:r>
        <w:t xml:space="preserve">University of Puget Sound </w:t>
      </w:r>
    </w:p>
    <w:p w:rsidR="005A7237" w:rsidRDefault="001C2754" w:rsidP="00911E6F">
      <w:pPr>
        <w:numPr>
          <w:ilvl w:val="0"/>
          <w:numId w:val="2"/>
        </w:numPr>
        <w:spacing w:line="240" w:lineRule="auto"/>
        <w:ind w:right="6" w:hanging="360"/>
      </w:pPr>
      <w:r>
        <w:t xml:space="preserve">University of Washington </w:t>
      </w:r>
    </w:p>
    <w:p w:rsidR="005A7237" w:rsidRDefault="001C2754" w:rsidP="00911E6F">
      <w:pPr>
        <w:numPr>
          <w:ilvl w:val="0"/>
          <w:numId w:val="2"/>
        </w:numPr>
        <w:spacing w:line="240" w:lineRule="auto"/>
        <w:ind w:right="6" w:hanging="360"/>
      </w:pPr>
      <w:r>
        <w:t xml:space="preserve">University of Washington, Tacoma </w:t>
      </w:r>
    </w:p>
    <w:p w:rsidR="005A7237" w:rsidRDefault="001C2754" w:rsidP="00911E6F">
      <w:pPr>
        <w:numPr>
          <w:ilvl w:val="0"/>
          <w:numId w:val="2"/>
        </w:numPr>
        <w:spacing w:line="240" w:lineRule="auto"/>
        <w:ind w:right="6" w:hanging="360"/>
      </w:pPr>
      <w:r>
        <w:t xml:space="preserve">Vassar College </w:t>
      </w:r>
    </w:p>
    <w:p w:rsidR="005A7237" w:rsidRDefault="001C2754" w:rsidP="00911E6F">
      <w:pPr>
        <w:numPr>
          <w:ilvl w:val="0"/>
          <w:numId w:val="2"/>
        </w:numPr>
        <w:spacing w:line="240" w:lineRule="auto"/>
        <w:ind w:right="6" w:hanging="360"/>
      </w:pPr>
      <w:r>
        <w:t xml:space="preserve">Washington State University </w:t>
      </w:r>
    </w:p>
    <w:p w:rsidR="005A7237" w:rsidRDefault="001C2754" w:rsidP="00911E6F">
      <w:pPr>
        <w:numPr>
          <w:ilvl w:val="0"/>
          <w:numId w:val="2"/>
        </w:numPr>
        <w:spacing w:line="240" w:lineRule="auto"/>
        <w:ind w:right="6" w:hanging="360"/>
      </w:pPr>
      <w:r>
        <w:t xml:space="preserve">Western Washington University </w:t>
      </w:r>
    </w:p>
    <w:p w:rsidR="005A7237" w:rsidRDefault="001C2754" w:rsidP="00911E6F">
      <w:pPr>
        <w:numPr>
          <w:ilvl w:val="0"/>
          <w:numId w:val="2"/>
        </w:numPr>
        <w:spacing w:line="240" w:lineRule="auto"/>
        <w:ind w:right="6" w:hanging="360"/>
      </w:pPr>
      <w:r>
        <w:t xml:space="preserve">Westminster College </w:t>
      </w:r>
    </w:p>
    <w:p w:rsidR="005A7237" w:rsidRDefault="001C2754" w:rsidP="00911E6F">
      <w:pPr>
        <w:numPr>
          <w:ilvl w:val="0"/>
          <w:numId w:val="2"/>
        </w:numPr>
        <w:spacing w:line="240" w:lineRule="auto"/>
        <w:ind w:right="6" w:hanging="360"/>
      </w:pPr>
      <w:r>
        <w:t xml:space="preserve">Whatcom Community College </w:t>
      </w:r>
    </w:p>
    <w:p w:rsidR="005A7237" w:rsidRDefault="001C2754" w:rsidP="00911E6F">
      <w:pPr>
        <w:numPr>
          <w:ilvl w:val="0"/>
          <w:numId w:val="2"/>
        </w:numPr>
        <w:spacing w:line="240" w:lineRule="auto"/>
        <w:ind w:right="6" w:hanging="360"/>
      </w:pPr>
      <w:r>
        <w:t xml:space="preserve">Wheaton College </w:t>
      </w:r>
    </w:p>
    <w:p w:rsidR="00911E6F" w:rsidRDefault="00911E6F" w:rsidP="00911E6F">
      <w:pPr>
        <w:numPr>
          <w:ilvl w:val="0"/>
          <w:numId w:val="2"/>
        </w:numPr>
        <w:spacing w:after="0" w:line="240" w:lineRule="auto"/>
        <w:ind w:right="6" w:hanging="360"/>
      </w:pPr>
      <w:r>
        <w:t>Whitman College</w:t>
      </w:r>
    </w:p>
    <w:p w:rsidR="005A7237" w:rsidRDefault="001C2754" w:rsidP="00911E6F">
      <w:pPr>
        <w:numPr>
          <w:ilvl w:val="0"/>
          <w:numId w:val="2"/>
        </w:numPr>
        <w:spacing w:after="0" w:line="240" w:lineRule="auto"/>
        <w:ind w:right="6" w:hanging="360"/>
      </w:pPr>
      <w:r>
        <w:t xml:space="preserve">Whitworth University </w:t>
      </w:r>
    </w:p>
    <w:p w:rsidR="005A7237" w:rsidRDefault="001C2754" w:rsidP="00911E6F">
      <w:pPr>
        <w:spacing w:after="0" w:line="259" w:lineRule="auto"/>
        <w:ind w:left="710" w:firstLine="0"/>
        <w:jc w:val="center"/>
      </w:pPr>
      <w:r>
        <w:rPr>
          <w:b/>
          <w:sz w:val="32"/>
        </w:rPr>
        <w:t xml:space="preserve"> </w:t>
      </w:r>
    </w:p>
    <w:p w:rsidR="005A7237" w:rsidRDefault="001C2754">
      <w:pPr>
        <w:spacing w:after="0" w:line="259" w:lineRule="auto"/>
        <w:ind w:left="0" w:firstLine="0"/>
      </w:pPr>
      <w:r>
        <w:rPr>
          <w:b/>
          <w:sz w:val="32"/>
        </w:rPr>
        <w:t xml:space="preserve"> </w:t>
      </w:r>
    </w:p>
    <w:sectPr w:rsidR="005A7237">
      <w:type w:val="continuous"/>
      <w:pgSz w:w="12240" w:h="15840"/>
      <w:pgMar w:top="1440" w:right="2104" w:bottom="1440" w:left="1913" w:header="720" w:footer="720" w:gutter="0"/>
      <w:cols w:num="2" w:space="720" w:equalWidth="0">
        <w:col w:w="3734" w:space="1027"/>
        <w:col w:w="34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F392E"/>
    <w:multiLevelType w:val="hybridMultilevel"/>
    <w:tmpl w:val="CBC005B6"/>
    <w:lvl w:ilvl="0" w:tplc="560467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A79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446E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EAA2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6BD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298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06A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C15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CCC8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472217"/>
    <w:multiLevelType w:val="hybridMultilevel"/>
    <w:tmpl w:val="E52EA2A4"/>
    <w:lvl w:ilvl="0" w:tplc="0456D846">
      <w:start w:val="1"/>
      <w:numFmt w:val="bullet"/>
      <w:lvlText w:val="•"/>
      <w:lvlJc w:val="left"/>
      <w:pPr>
        <w:ind w:left="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E2820">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2B42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3A660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E645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EC0B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2891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86D88A">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8854C6">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37"/>
    <w:rsid w:val="00113731"/>
    <w:rsid w:val="00184228"/>
    <w:rsid w:val="001C2754"/>
    <w:rsid w:val="001D416E"/>
    <w:rsid w:val="0026488B"/>
    <w:rsid w:val="002E1DA9"/>
    <w:rsid w:val="00326CBE"/>
    <w:rsid w:val="003355FF"/>
    <w:rsid w:val="003C7996"/>
    <w:rsid w:val="003F2C0F"/>
    <w:rsid w:val="005A7237"/>
    <w:rsid w:val="006B2168"/>
    <w:rsid w:val="00704DA6"/>
    <w:rsid w:val="00735742"/>
    <w:rsid w:val="00756469"/>
    <w:rsid w:val="007B5BCF"/>
    <w:rsid w:val="00871CEE"/>
    <w:rsid w:val="008818AF"/>
    <w:rsid w:val="00911E6F"/>
    <w:rsid w:val="00941E2E"/>
    <w:rsid w:val="00971BE0"/>
    <w:rsid w:val="00AB7424"/>
    <w:rsid w:val="00BA62AC"/>
    <w:rsid w:val="00C56588"/>
    <w:rsid w:val="00E24751"/>
    <w:rsid w:val="00EB2436"/>
    <w:rsid w:val="00EF271D"/>
    <w:rsid w:val="00F12A34"/>
    <w:rsid w:val="00FD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88A6B-C15F-4B06-8E8D-E729B28F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6"/>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6CBE"/>
    <w:rPr>
      <w:sz w:val="16"/>
      <w:szCs w:val="16"/>
    </w:rPr>
  </w:style>
  <w:style w:type="paragraph" w:styleId="CommentText">
    <w:name w:val="annotation text"/>
    <w:basedOn w:val="Normal"/>
    <w:link w:val="CommentTextChar"/>
    <w:uiPriority w:val="99"/>
    <w:semiHidden/>
    <w:unhideWhenUsed/>
    <w:rsid w:val="00326CBE"/>
    <w:pPr>
      <w:spacing w:line="240" w:lineRule="auto"/>
    </w:pPr>
    <w:rPr>
      <w:sz w:val="20"/>
      <w:szCs w:val="20"/>
    </w:rPr>
  </w:style>
  <w:style w:type="character" w:customStyle="1" w:styleId="CommentTextChar">
    <w:name w:val="Comment Text Char"/>
    <w:basedOn w:val="DefaultParagraphFont"/>
    <w:link w:val="CommentText"/>
    <w:uiPriority w:val="99"/>
    <w:semiHidden/>
    <w:rsid w:val="00326CB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26CBE"/>
    <w:rPr>
      <w:b/>
      <w:bCs/>
    </w:rPr>
  </w:style>
  <w:style w:type="character" w:customStyle="1" w:styleId="CommentSubjectChar">
    <w:name w:val="Comment Subject Char"/>
    <w:basedOn w:val="CommentTextChar"/>
    <w:link w:val="CommentSubject"/>
    <w:uiPriority w:val="99"/>
    <w:semiHidden/>
    <w:rsid w:val="00326CB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26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BE"/>
    <w:rPr>
      <w:rFonts w:ascii="Segoe UI" w:eastAsia="Calibri" w:hAnsi="Segoe UI" w:cs="Segoe UI"/>
      <w:color w:val="000000"/>
      <w:sz w:val="18"/>
      <w:szCs w:val="18"/>
    </w:rPr>
  </w:style>
  <w:style w:type="table" w:styleId="TableGrid0">
    <w:name w:val="Table Grid"/>
    <w:basedOn w:val="TableNormal"/>
    <w:uiPriority w:val="39"/>
    <w:rsid w:val="00971B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kent.k12.wa.us/ksd/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k12.wa.us/ksd/k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Kent School District</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cp:keywords/>
  <cp:lastModifiedBy>Moss, Patricia</cp:lastModifiedBy>
  <cp:revision>3</cp:revision>
  <dcterms:created xsi:type="dcterms:W3CDTF">2017-09-25T21:11:00Z</dcterms:created>
  <dcterms:modified xsi:type="dcterms:W3CDTF">2017-09-25T21:12:00Z</dcterms:modified>
</cp:coreProperties>
</file>